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color w:val="B88935"/>
          <w:sz w:val="18"/>
        </w:rPr>
        <w:t>UNODC</w:t>
      </w:r>
    </w:p>
    <w:p>
      <w:pPr>
        <w:pStyle w:val="Title"/>
      </w:pPr>
      <w:r>
        <w:t>United Nations Office on Drugs and Crime</w:t>
      </w:r>
    </w:p>
    <w:p>
      <w:pPr>
        <w:spacing w:after="240"/>
      </w:pPr>
      <w:r>
        <w:rPr>
          <w:rFonts w:ascii="Aptos" w:hAnsi="Aptos"/>
          <w:i/>
          <w:color w:val="435F84"/>
          <w:sz w:val="23"/>
        </w:rPr>
        <w:t>Deliberation on the Criminalization of Truth: Examining State Complicity, Institutional Corruption, and Transnational Crime Networks.</w:t>
      </w:r>
    </w:p>
    <w:tbl>
      <w:tblPr>
        <w:tblW w:type="auto" w:w="0"/>
        <w:jc w:val="center"/>
        <w:tblLook w:firstColumn="1" w:firstRow="1" w:lastColumn="0" w:lastRow="0" w:noHBand="0" w:noVBand="1" w:val="04A0"/>
      </w:tblPr>
      <w:tblGrid>
        <w:gridCol w:w="9994"/>
      </w:tblGrid>
      <w:tr>
        <w:tc>
          <w:tcPr>
            <w:tcW w:type="dxa" w:w="9994"/>
            <w:shd w:fill="C8A85A"/>
          </w:tcPr>
          <w:p>
            <w:r/>
          </w:p>
        </w:tc>
      </w:tr>
    </w:tbl>
    <w:p/>
    <w:tbl>
      <w:tblPr>
        <w:tblW w:type="auto" w:w="0"/>
        <w:jc w:val="center"/>
        <w:tblLook w:firstColumn="1" w:firstRow="1" w:lastColumn="0" w:lastRow="0" w:noHBand="0" w:noVBand="1" w:val="04A0"/>
      </w:tblPr>
      <w:tblGrid>
        <w:gridCol w:w="9994"/>
      </w:tblGrid>
      <w:tr>
        <w:tc>
          <w:tcPr>
            <w:tcW w:type="dxa" w:w="9994"/>
            <w:shd w:fill="F1EEE7"/>
            <w:tcMar>
              <w:top w:w="140" w:type="dxa"/>
              <w:start w:w="180" w:type="dxa"/>
              <w:bottom w:w="140" w:type="dxa"/>
              <w:end w:w="180" w:type="dxa"/>
            </w:tcMar>
          </w:tcPr>
          <w:p>
            <w:r>
              <w:rPr>
                <w:rFonts w:ascii="Aptos" w:hAnsi="Aptos"/>
                <w:b/>
                <w:color w:val="B88935"/>
                <w:sz w:val="17"/>
              </w:rPr>
              <w:t>COMMITTEE NOTE</w:t>
            </w:r>
          </w:p>
          <w:p>
            <w:pPr>
              <w:spacing w:after="0"/>
            </w:pPr>
            <w:r>
              <w:rPr>
                <w:rFonts w:ascii="Aptos" w:hAnsi="Aptos"/>
                <w:color w:val="282D32"/>
                <w:sz w:val="19"/>
              </w:rPr>
              <w:t>The phrase “criminalization of truth” is a committee framing. The guide does not assert that any particular real-world state or institution is complicit in organised crime.</w:t>
            </w:r>
          </w:p>
        </w:tc>
      </w:tr>
    </w:tbl>
    <w:p>
      <w:pPr>
        <w:spacing w:after="20"/>
      </w:pPr>
    </w:p>
    <w:p>
      <w:pPr>
        <w:pStyle w:val="Heading1"/>
      </w:pPr>
      <w:r>
        <w:t>1. Committee Premise</w:t>
      </w:r>
    </w:p>
    <w:p>
      <w:r>
        <w:t>This agenda asks when the institutions responsible for enforcing the law become part of the problem. The phrase “criminalization of truth” is used here as a political and fictional framing device: individuals who expose systemic corruption may face legal, financial or institutional pressure, while transnational criminal networks exploit the resulting weaknesses.</w:t>
      </w:r>
    </w:p>
    <w:p>
      <w:pPr>
        <w:pStyle w:val="Heading1"/>
      </w:pPr>
      <w:r>
        <w:t>2. Transnational Organized Crime</w:t>
      </w:r>
    </w:p>
    <w:p>
      <w:r>
        <w:t>UNODC describes transnational organised crime as serious profit-motivated criminal activity involving more than one country. It can include trafficking, smuggling, money-laundering, corruption and other illicit markets. The international response depends heavily on cooperation between states, law-enforcement agencies and judicial systems.</w:t>
      </w:r>
    </w:p>
    <w:p>
      <w:pPr>
        <w:pStyle w:val="Heading1"/>
      </w:pPr>
      <w:r>
        <w:t>3. State Complicity</w:t>
      </w:r>
    </w:p>
    <w:p>
      <w:r>
        <w:t>Complicity can take different forms: active participation by officials, deliberate non-enforcement, regulatory capture, corruption, diversion of evidence or the provision of protection to criminal networks. Delegates should distinguish individual criminal conduct from allegations that an entire state or institution is inherently criminal.</w:t>
      </w:r>
    </w:p>
    <w:p>
      <w:pPr>
        <w:pStyle w:val="Heading1"/>
      </w:pPr>
      <w:r>
        <w:t>4. Institutional Corruption</w:t>
      </w:r>
    </w:p>
    <w:p>
      <w:r>
        <w:t>Corruption can be particularly damaging when it affects police, customs, prosecutors, regulators, courts or financial institutions. Once criminal groups can rely on compromised institutions, investigations become harder, witnesses become less willing to cooperate and illicit profits become easier to conceal.</w:t>
      </w:r>
    </w:p>
    <w:p>
      <w:pPr>
        <w:pStyle w:val="Heading1"/>
      </w:pPr>
      <w:r>
        <w:t>5. “Truth” as a Criminalised Commodity</w:t>
      </w:r>
    </w:p>
    <w:p>
      <w:r>
        <w:t>The fictional scenario may involve journalists, whistle-blowers, investigators or civil-society actors who discover evidence of corruption. The central issue is whether legal systems protect legitimate disclosure and accountability while still allowing authorities to investigate genuine offences such as unlawful disclosure, obstruction or fraud.</w:t>
      </w:r>
    </w:p>
    <w:p>
      <w:pPr>
        <w:pStyle w:val="Heading1"/>
      </w:pPr>
      <w:r>
        <w:t>6. Questions for Delegates</w:t>
      </w:r>
    </w:p>
    <w:p>
      <w:pPr>
        <w:pStyle w:val="ListBullet"/>
        <w:spacing w:after="60"/>
      </w:pPr>
      <w:r>
        <w:t>How should UN bodies distinguish whistle-blowing from unlawful disclosure?</w:t>
      </w:r>
    </w:p>
    <w:p>
      <w:pPr>
        <w:pStyle w:val="ListBullet"/>
        <w:spacing w:after="60"/>
      </w:pPr>
      <w:r>
        <w:t>What international standards should protect investigators and witnesses?</w:t>
      </w:r>
    </w:p>
    <w:p>
      <w:pPr>
        <w:pStyle w:val="ListBullet"/>
        <w:spacing w:after="60"/>
      </w:pPr>
      <w:r>
        <w:t>How can evidence move between jurisdictions without compromising due process?</w:t>
      </w:r>
    </w:p>
    <w:p>
      <w:pPr>
        <w:pStyle w:val="ListBullet"/>
        <w:spacing w:after="60"/>
      </w:pPr>
      <w:r>
        <w:t>What safeguards reduce corruption in law-enforcement and judicial institutions?</w:t>
      </w:r>
    </w:p>
    <w:p>
      <w:pPr>
        <w:pStyle w:val="ListBullet"/>
        <w:spacing w:after="60"/>
      </w:pPr>
      <w:r>
        <w:t>How should beneficial ownership and illicit financial flows be addressed?</w:t>
      </w:r>
    </w:p>
    <w:p>
      <w:pPr>
        <w:pStyle w:val="ListBullet"/>
        <w:spacing w:after="60"/>
      </w:pPr>
      <w:r>
        <w:t>What role should UNODC play in strengthening cross-border investigations?</w:t>
      </w:r>
    </w:p>
    <w:p>
      <w:pPr>
        <w:pStyle w:val="ListBullet"/>
        <w:spacing w:after="60"/>
      </w:pPr>
      <w:r>
        <w:t>How can states avoid weaponising anti-corruption laws against legitimate criticism?</w:t>
      </w:r>
    </w:p>
    <w:p>
      <w:pPr>
        <w:pStyle w:val="Heading1"/>
      </w:pPr>
      <w:r>
        <w:t>7. Possible Policy Directions</w:t>
      </w:r>
    </w:p>
    <w:p>
      <w:pPr>
        <w:pStyle w:val="ListBullet"/>
        <w:spacing w:after="60"/>
      </w:pPr>
      <w:r>
        <w:t>Cross-border investigative cooperation</w:t>
      </w:r>
    </w:p>
    <w:p>
      <w:pPr>
        <w:pStyle w:val="ListBullet"/>
        <w:spacing w:after="60"/>
      </w:pPr>
      <w:r>
        <w:t>Anti-corruption integrity standards</w:t>
      </w:r>
    </w:p>
    <w:p>
      <w:pPr>
        <w:pStyle w:val="ListBullet"/>
        <w:spacing w:after="60"/>
      </w:pPr>
      <w:r>
        <w:t>Witness and whistle-blower protection</w:t>
      </w:r>
    </w:p>
    <w:p>
      <w:pPr>
        <w:pStyle w:val="ListBullet"/>
        <w:spacing w:after="60"/>
      </w:pPr>
      <w:r>
        <w:t>Financial transparency and beneficial-ownership safeguards</w:t>
      </w:r>
    </w:p>
    <w:p>
      <w:pPr>
        <w:pStyle w:val="ListBullet"/>
        <w:spacing w:after="60"/>
      </w:pPr>
      <w:r>
        <w:t>Independent oversight</w:t>
      </w:r>
    </w:p>
    <w:p>
      <w:pPr>
        <w:pStyle w:val="ListBullet"/>
        <w:spacing w:after="60"/>
      </w:pPr>
      <w:r>
        <w:t>Evidence-sharing protocols</w:t>
      </w:r>
    </w:p>
    <w:p>
      <w:pPr>
        <w:pStyle w:val="ListBullet"/>
        <w:spacing w:after="60"/>
      </w:pPr>
      <w:r>
        <w:t>Capacity building for prosecutors and investigators</w:t>
      </w:r>
    </w:p>
    <w:p>
      <w:pPr>
        <w:pStyle w:val="Heading1"/>
      </w:pPr>
      <w:r>
        <w:t>Key Concepts</w:t>
      </w:r>
    </w:p>
    <w:tbl>
      <w:tblPr>
        <w:tblW w:type="auto" w:w="0"/>
        <w:jc w:val="center"/>
        <w:tblLayout w:type="autofit"/>
        <w:tblLook w:firstColumn="1" w:firstRow="1" w:lastColumn="0" w:lastRow="0" w:noHBand="0" w:noVBand="1" w:val="04A0"/>
      </w:tblPr>
      <w:tblGrid>
        <w:gridCol w:w="4997"/>
        <w:gridCol w:w="4997"/>
      </w:tblGrid>
      <w:tr>
        <w:tc>
          <w:tcPr>
            <w:tcW w:type="dxa" w:w="4997"/>
            <w:shd w:fill="E8E1D3"/>
            <w:tcMar>
              <w:top w:w="100" w:type="dxa"/>
              <w:start w:w="120" w:type="dxa"/>
              <w:bottom w:w="100" w:type="dxa"/>
              <w:end w:w="120" w:type="dxa"/>
            </w:tcMar>
          </w:tcPr>
          <w:p>
            <w:r>
              <w:rPr>
                <w:b/>
                <w:color w:val="112B4E"/>
                <w:sz w:val="17"/>
              </w:rPr>
              <w:t>TERM</w:t>
            </w:r>
          </w:p>
        </w:tc>
        <w:tc>
          <w:tcPr>
            <w:tcW w:type="dxa" w:w="4997"/>
            <w:shd w:fill="E8E1D3"/>
            <w:tcMar>
              <w:top w:w="100" w:type="dxa"/>
              <w:start w:w="120" w:type="dxa"/>
              <w:bottom w:w="100" w:type="dxa"/>
              <w:end w:w="120" w:type="dxa"/>
            </w:tcMar>
          </w:tcPr>
          <w:p>
            <w:r>
              <w:rPr>
                <w:b/>
                <w:color w:val="112B4E"/>
                <w:sz w:val="17"/>
              </w:rPr>
              <w:t>WORKING DEFINITION</w:t>
            </w:r>
          </w:p>
        </w:tc>
      </w:tr>
      <w:tr>
        <w:tc>
          <w:tcPr>
            <w:tcW w:type="dxa" w:w="4997"/>
            <w:tcMar>
              <w:top w:w="100" w:type="dxa"/>
              <w:start w:w="120" w:type="dxa"/>
              <w:bottom w:w="100" w:type="dxa"/>
              <w:end w:w="120" w:type="dxa"/>
            </w:tcMar>
            <w:vAlign w:val="top"/>
          </w:tcPr>
          <w:p>
            <w:r>
              <w:rPr>
                <w:b/>
                <w:color w:val="435F84"/>
                <w:sz w:val="18"/>
              </w:rPr>
              <w:t>Transnational Organized Crime</w:t>
            </w:r>
          </w:p>
        </w:tc>
        <w:tc>
          <w:tcPr>
            <w:tcW w:type="dxa" w:w="4997"/>
            <w:tcMar>
              <w:top w:w="100" w:type="dxa"/>
              <w:start w:w="120" w:type="dxa"/>
              <w:bottom w:w="100" w:type="dxa"/>
              <w:end w:w="120" w:type="dxa"/>
            </w:tcMar>
            <w:vAlign w:val="top"/>
          </w:tcPr>
          <w:p>
            <w:r>
              <w:rPr>
                <w:sz w:val="18"/>
              </w:rPr>
              <w:t>Serious profit-motivated criminal activity involving more than one country.</w:t>
            </w:r>
          </w:p>
        </w:tc>
      </w:tr>
      <w:tr>
        <w:tc>
          <w:tcPr>
            <w:tcW w:type="dxa" w:w="4997"/>
            <w:tcMar>
              <w:top w:w="100" w:type="dxa"/>
              <w:start w:w="120" w:type="dxa"/>
              <w:bottom w:w="100" w:type="dxa"/>
              <w:end w:w="120" w:type="dxa"/>
            </w:tcMar>
            <w:vAlign w:val="top"/>
          </w:tcPr>
          <w:p>
            <w:r>
              <w:rPr>
                <w:b/>
                <w:color w:val="435F84"/>
                <w:sz w:val="18"/>
              </w:rPr>
              <w:t>Corruption</w:t>
            </w:r>
          </w:p>
        </w:tc>
        <w:tc>
          <w:tcPr>
            <w:tcW w:type="dxa" w:w="4997"/>
            <w:tcMar>
              <w:top w:w="100" w:type="dxa"/>
              <w:start w:w="120" w:type="dxa"/>
              <w:bottom w:w="100" w:type="dxa"/>
              <w:end w:w="120" w:type="dxa"/>
            </w:tcMar>
            <w:vAlign w:val="top"/>
          </w:tcPr>
          <w:p>
            <w:r>
              <w:rPr>
                <w:sz w:val="18"/>
              </w:rPr>
              <w:t>The abuse of entrusted power for private or improper advantage.</w:t>
            </w:r>
          </w:p>
        </w:tc>
      </w:tr>
      <w:tr>
        <w:tc>
          <w:tcPr>
            <w:tcW w:type="dxa" w:w="4997"/>
            <w:tcMar>
              <w:top w:w="100" w:type="dxa"/>
              <w:start w:w="120" w:type="dxa"/>
              <w:bottom w:w="100" w:type="dxa"/>
              <w:end w:w="120" w:type="dxa"/>
            </w:tcMar>
            <w:vAlign w:val="top"/>
          </w:tcPr>
          <w:p>
            <w:r>
              <w:rPr>
                <w:b/>
                <w:color w:val="435F84"/>
                <w:sz w:val="18"/>
              </w:rPr>
              <w:t>State Complicity</w:t>
            </w:r>
          </w:p>
        </w:tc>
        <w:tc>
          <w:tcPr>
            <w:tcW w:type="dxa" w:w="4997"/>
            <w:tcMar>
              <w:top w:w="100" w:type="dxa"/>
              <w:start w:w="120" w:type="dxa"/>
              <w:bottom w:w="100" w:type="dxa"/>
              <w:end w:w="120" w:type="dxa"/>
            </w:tcMar>
            <w:vAlign w:val="top"/>
          </w:tcPr>
          <w:p>
            <w:r>
              <w:rPr>
                <w:sz w:val="18"/>
              </w:rPr>
              <w:t>Participation, assistance or deliberate facilitation by public officials or institutions.</w:t>
            </w:r>
          </w:p>
        </w:tc>
      </w:tr>
      <w:tr>
        <w:tc>
          <w:tcPr>
            <w:tcW w:type="dxa" w:w="4997"/>
            <w:tcMar>
              <w:top w:w="100" w:type="dxa"/>
              <w:start w:w="120" w:type="dxa"/>
              <w:bottom w:w="100" w:type="dxa"/>
              <w:end w:w="120" w:type="dxa"/>
            </w:tcMar>
            <w:vAlign w:val="top"/>
          </w:tcPr>
          <w:p>
            <w:r>
              <w:rPr>
                <w:b/>
                <w:color w:val="435F84"/>
                <w:sz w:val="18"/>
              </w:rPr>
              <w:t>Whistle-blower</w:t>
            </w:r>
          </w:p>
        </w:tc>
        <w:tc>
          <w:tcPr>
            <w:tcW w:type="dxa" w:w="4997"/>
            <w:tcMar>
              <w:top w:w="100" w:type="dxa"/>
              <w:start w:w="120" w:type="dxa"/>
              <w:bottom w:w="100" w:type="dxa"/>
              <w:end w:w="120" w:type="dxa"/>
            </w:tcMar>
            <w:vAlign w:val="top"/>
          </w:tcPr>
          <w:p>
            <w:r>
              <w:rPr>
                <w:sz w:val="18"/>
              </w:rPr>
              <w:t>A person who reports or discloses information about suspected wrongdoing.</w:t>
            </w:r>
          </w:p>
        </w:tc>
      </w:tr>
      <w:tr>
        <w:tc>
          <w:tcPr>
            <w:tcW w:type="dxa" w:w="4997"/>
            <w:tcMar>
              <w:top w:w="100" w:type="dxa"/>
              <w:start w:w="120" w:type="dxa"/>
              <w:bottom w:w="100" w:type="dxa"/>
              <w:end w:w="120" w:type="dxa"/>
            </w:tcMar>
            <w:vAlign w:val="top"/>
          </w:tcPr>
          <w:p>
            <w:r>
              <w:rPr>
                <w:b/>
                <w:color w:val="435F84"/>
                <w:sz w:val="18"/>
              </w:rPr>
              <w:t>Beneficial Ownership</w:t>
            </w:r>
          </w:p>
        </w:tc>
        <w:tc>
          <w:tcPr>
            <w:tcW w:type="dxa" w:w="4997"/>
            <w:tcMar>
              <w:top w:w="100" w:type="dxa"/>
              <w:start w:w="120" w:type="dxa"/>
              <w:bottom w:w="100" w:type="dxa"/>
              <w:end w:w="120" w:type="dxa"/>
            </w:tcMar>
            <w:vAlign w:val="top"/>
          </w:tcPr>
          <w:p>
            <w:r>
              <w:rPr>
                <w:sz w:val="18"/>
              </w:rPr>
              <w:t>The individual or individuals who ultimately own or control a legal entity or asset.</w:t>
            </w:r>
          </w:p>
        </w:tc>
      </w:tr>
    </w:tbl>
    <w:p/>
    <w:p>
      <w:pPr>
        <w:pStyle w:val="Heading1"/>
      </w:pPr>
      <w:r>
        <w:t>Sources &amp; Further Reading</w:t>
      </w:r>
    </w:p>
    <w:p>
      <w:r>
        <w:rPr>
          <w:b/>
          <w:color w:val="112B4E"/>
        </w:rPr>
        <w:t xml:space="preserve">UNODC — Transnational Organized Crime — </w:t>
      </w:r>
      <w:r>
        <w:rPr>
          <w:color w:val="435F84"/>
          <w:sz w:val="17"/>
        </w:rPr>
        <w:t>https://www.unodc.org/toc/en/crimes/organized-crime.html</w:t>
      </w:r>
    </w:p>
    <w:p>
      <w:r>
        <w:rPr>
          <w:b/>
          <w:color w:val="112B4E"/>
        </w:rPr>
        <w:t xml:space="preserve">UNODC — UN Convention against Transnational Organized Crime — </w:t>
      </w:r>
      <w:r>
        <w:rPr>
          <w:color w:val="435F84"/>
          <w:sz w:val="17"/>
        </w:rPr>
        <w:t>https://www.unodc.org/unodc/en/organized-crime/intro/UNTOC.html</w:t>
      </w:r>
    </w:p>
    <w:p>
      <w:r>
        <w:rPr>
          <w:b/>
          <w:color w:val="112B4E"/>
        </w:rPr>
        <w:t xml:space="preserve">United Nations — UN Convention Against Transnational Organized Crime PDF — </w:t>
      </w:r>
      <w:r>
        <w:rPr>
          <w:color w:val="435F84"/>
          <w:sz w:val="17"/>
        </w:rPr>
        <w:t>https://www.unodc.org/documents/treaties/UNTOC/Publications/Convention/English/ENG_United_Nations_Convention_against_Transnational_Organized_Crime.pdf</w:t>
      </w:r>
    </w:p>
    <w:sectPr w:rsidR="00FC693F" w:rsidRPr="0006063C" w:rsidSect="00034616">
      <w:headerReference w:type="default" r:id="rId9"/>
      <w:footerReference w:type="default" r:id="rId10"/>
      <w:pgSz w:w="12240" w:h="15840"/>
      <w:pgMar w:top="1037" w:right="1123" w:bottom="936" w:left="1123"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96D72"/>
        <w:sz w:val="16"/>
      </w:rPr>
      <w:t xml:space="preserve">JIRSMUN 8.0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B88935"/>
        <w:sz w:val="17"/>
      </w:rPr>
      <w:t>JIRSMUN 8.0   /   BACKGROUND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ptos" w:hAnsi="Aptos"/>
      <w:color w:val="282D3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Georgia" w:hAnsi="Georgia"/>
      <w:b/>
      <w:bCs/>
      <w:color w:val="112B4E"/>
      <w:sz w:val="31"/>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Georgia" w:hAnsi="Georgia"/>
      <w:b/>
      <w:bCs/>
      <w:color w:val="435F8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Georgia" w:hAnsi="Georgia"/>
      <w:b w:val="0"/>
      <w:color w:val="112B4E"/>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