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color w:val="B88935"/>
          <w:sz w:val="18"/>
        </w:rPr>
        <w:t>UNHRC</w:t>
      </w:r>
    </w:p>
    <w:p>
      <w:pPr>
        <w:pStyle w:val="Title"/>
      </w:pPr>
      <w:r>
        <w:t>United Nations Human Rights Council</w:t>
      </w:r>
    </w:p>
    <w:p>
      <w:pPr>
        <w:spacing w:after="240"/>
      </w:pPr>
      <w:r>
        <w:rPr>
          <w:rFonts w:ascii="Aptos" w:hAnsi="Aptos"/>
          <w:i/>
          <w:color w:val="435F84"/>
          <w:sz w:val="23"/>
        </w:rPr>
        <w:t>Deliberation on the Clash Between Multiculturalism and National Integration in Western Democracies.</w:t>
      </w:r>
    </w:p>
    <w:tbl>
      <w:tblPr>
        <w:tblW w:type="auto" w:w="0"/>
        <w:jc w:val="center"/>
        <w:tblLook w:firstColumn="1" w:firstRow="1" w:lastColumn="0" w:lastRow="0" w:noHBand="0" w:noVBand="1" w:val="04A0"/>
      </w:tblPr>
      <w:tblGrid>
        <w:gridCol w:w="9994"/>
      </w:tblGrid>
      <w:tr>
        <w:tc>
          <w:tcPr>
            <w:tcW w:type="dxa" w:w="9994"/>
            <w:shd w:fill="C8A85A"/>
          </w:tcPr>
          <w:p>
            <w:r/>
          </w:p>
        </w:tc>
      </w:tr>
    </w:tbl>
    <w:p/>
    <w:p>
      <w:pPr>
        <w:pStyle w:val="Heading1"/>
      </w:pPr>
      <w:r>
        <w:t>1. Committee Mandate</w:t>
      </w:r>
    </w:p>
    <w:p>
      <w:r>
        <w:t>The Human Rights Council is a 47-member intergovernmental body responsible for promoting and protecting human rights worldwide. Its mechanisms include the Universal Periodic Review, Special Procedures and investigative or fact-finding bodies. The Council’s human-rights framework rests on the Universal Declaration of Human Rights and later treaties.</w:t>
      </w:r>
    </w:p>
    <w:p>
      <w:pPr>
        <w:pStyle w:val="Heading1"/>
      </w:pPr>
      <w:r>
        <w:t>2. Understanding the Debate</w:t>
      </w:r>
    </w:p>
    <w:p>
      <w:r>
        <w:t>Multiculturalism can describe public arrangements that allow different cultural, religious or linguistic communities to retain aspects of identity within a shared political order. National integration can describe policies intended to create common civic institutions, shared legal standards and social participation across a population. These concepts are not automatically opposites; the policy question is where tensions arise.</w:t>
      </w:r>
    </w:p>
    <w:p>
      <w:pPr>
        <w:pStyle w:val="Heading1"/>
      </w:pPr>
      <w:r>
        <w:t>3. Rights at Stake</w:t>
      </w:r>
    </w:p>
    <w:p>
      <w:r>
        <w:t>Relevant rights include equality and non-discrimination, freedom of religion or belief, freedom of expression, privacy, education, association, political participation and protection from violence. International human-rights law also recognises the rights of persons belonging to minority groups to participate in cultural, religious and linguistic life.</w:t>
      </w:r>
    </w:p>
    <w:p>
      <w:pPr>
        <w:pStyle w:val="Heading1"/>
      </w:pPr>
      <w:r>
        <w:t>4. Areas of Tension</w:t>
      </w:r>
    </w:p>
    <w:p>
      <w:r>
        <w:t>Debates may arise around language policy, religious accommodation, education, citizenship requirements, hate speech, migration, public symbolism, equal access to employment and political participation. Delegates should distinguish between neutral civic standards that apply to everyone and policies that disproportionately burden particular communities.</w:t>
      </w:r>
    </w:p>
    <w:p>
      <w:pPr>
        <w:pStyle w:val="Heading1"/>
      </w:pPr>
      <w:r>
        <w:t>5. Human Rights Council Tools</w:t>
      </w:r>
    </w:p>
    <w:p>
      <w:r>
        <w:t>The Council cannot replace national courts or legislatures, but it can use peer review, special procedures, thematic reporting, fact-finding and recommendations to build international scrutiny. The Universal Periodic Review is state-driven and examines the human-rights records of all UN Member States.</w:t>
      </w:r>
    </w:p>
    <w:p>
      <w:pPr>
        <w:pStyle w:val="Heading1"/>
      </w:pPr>
      <w:r>
        <w:t>6. Questions for Delegates</w:t>
      </w:r>
    </w:p>
    <w:p>
      <w:pPr>
        <w:pStyle w:val="ListBullet"/>
        <w:spacing w:after="60"/>
      </w:pPr>
      <w:r>
        <w:t>How can states promote a shared civic identity without suppressing minority identities?</w:t>
      </w:r>
    </w:p>
    <w:p>
      <w:pPr>
        <w:pStyle w:val="ListBullet"/>
        <w:spacing w:after="60"/>
      </w:pPr>
      <w:r>
        <w:t>When does a language or integration requirement become discriminatory?</w:t>
      </w:r>
    </w:p>
    <w:p>
      <w:pPr>
        <w:pStyle w:val="ListBullet"/>
        <w:spacing w:after="60"/>
      </w:pPr>
      <w:r>
        <w:t>How should freedom of religion be balanced with neutral public rules?</w:t>
      </w:r>
    </w:p>
    <w:p>
      <w:pPr>
        <w:pStyle w:val="ListBullet"/>
        <w:spacing w:after="60"/>
      </w:pPr>
      <w:r>
        <w:t>What safeguards should apply when states restrict organisations on national-security grounds?</w:t>
      </w:r>
    </w:p>
    <w:p>
      <w:pPr>
        <w:pStyle w:val="ListBullet"/>
        <w:spacing w:after="60"/>
      </w:pPr>
      <w:r>
        <w:t>How can governments address hate speech without unduly restricting legitimate expression?</w:t>
      </w:r>
    </w:p>
    <w:p>
      <w:pPr>
        <w:pStyle w:val="ListBullet"/>
        <w:spacing w:after="60"/>
      </w:pPr>
      <w:r>
        <w:t>What role should the Human Rights Council play when domestic political debates become international human-rights issues?</w:t>
      </w:r>
    </w:p>
    <w:p>
      <w:pPr>
        <w:pStyle w:val="ListBullet"/>
        <w:spacing w:after="60"/>
      </w:pPr>
      <w:r>
        <w:t>How can integration policy include meaningful participation rather than mere formal equality?</w:t>
      </w:r>
    </w:p>
    <w:p>
      <w:pPr>
        <w:pStyle w:val="Heading1"/>
      </w:pPr>
      <w:r>
        <w:t>7. Possible Policy Directions</w:t>
      </w:r>
    </w:p>
    <w:p>
      <w:pPr>
        <w:pStyle w:val="ListBullet"/>
        <w:spacing w:after="60"/>
      </w:pPr>
      <w:r>
        <w:t>Rights-based integration indicators</w:t>
      </w:r>
    </w:p>
    <w:p>
      <w:pPr>
        <w:pStyle w:val="ListBullet"/>
        <w:spacing w:after="60"/>
      </w:pPr>
      <w:r>
        <w:t>Independent equality monitoring</w:t>
      </w:r>
    </w:p>
    <w:p>
      <w:pPr>
        <w:pStyle w:val="ListBullet"/>
        <w:spacing w:after="60"/>
      </w:pPr>
      <w:r>
        <w:t>Inclusive education and civic programmes</w:t>
      </w:r>
    </w:p>
    <w:p>
      <w:pPr>
        <w:pStyle w:val="ListBullet"/>
        <w:spacing w:after="60"/>
      </w:pPr>
      <w:r>
        <w:t>Minority participation mechanisms</w:t>
      </w:r>
    </w:p>
    <w:p>
      <w:pPr>
        <w:pStyle w:val="ListBullet"/>
        <w:spacing w:after="60"/>
      </w:pPr>
      <w:r>
        <w:t>Non-discrimination safeguards</w:t>
      </w:r>
    </w:p>
    <w:p>
      <w:pPr>
        <w:pStyle w:val="ListBullet"/>
        <w:spacing w:after="60"/>
      </w:pPr>
      <w:r>
        <w:t>Regular UPR follow-up and reporting</w:t>
      </w:r>
    </w:p>
    <w:p>
      <w:pPr>
        <w:pStyle w:val="Heading1"/>
      </w:pPr>
      <w:r>
        <w:t>Key Concepts</w:t>
      </w:r>
    </w:p>
    <w:tbl>
      <w:tblPr>
        <w:tblW w:type="auto" w:w="0"/>
        <w:jc w:val="center"/>
        <w:tblLayout w:type="autofit"/>
        <w:tblLook w:firstColumn="1" w:firstRow="1" w:lastColumn="0" w:lastRow="0" w:noHBand="0" w:noVBand="1" w:val="04A0"/>
      </w:tblPr>
      <w:tblGrid>
        <w:gridCol w:w="4997"/>
        <w:gridCol w:w="4997"/>
      </w:tblGrid>
      <w:tr>
        <w:tc>
          <w:tcPr>
            <w:tcW w:type="dxa" w:w="4997"/>
            <w:shd w:fill="E8E1D3"/>
            <w:tcMar>
              <w:top w:w="100" w:type="dxa"/>
              <w:start w:w="120" w:type="dxa"/>
              <w:bottom w:w="100" w:type="dxa"/>
              <w:end w:w="120" w:type="dxa"/>
            </w:tcMar>
          </w:tcPr>
          <w:p>
            <w:r>
              <w:rPr>
                <w:b/>
                <w:color w:val="112B4E"/>
                <w:sz w:val="17"/>
              </w:rPr>
              <w:t>TERM</w:t>
            </w:r>
          </w:p>
        </w:tc>
        <w:tc>
          <w:tcPr>
            <w:tcW w:type="dxa" w:w="4997"/>
            <w:shd w:fill="E8E1D3"/>
            <w:tcMar>
              <w:top w:w="100" w:type="dxa"/>
              <w:start w:w="120" w:type="dxa"/>
              <w:bottom w:w="100" w:type="dxa"/>
              <w:end w:w="120" w:type="dxa"/>
            </w:tcMar>
          </w:tcPr>
          <w:p>
            <w:r>
              <w:rPr>
                <w:b/>
                <w:color w:val="112B4E"/>
                <w:sz w:val="17"/>
              </w:rPr>
              <w:t>WORKING DEFINITION</w:t>
            </w:r>
          </w:p>
        </w:tc>
      </w:tr>
      <w:tr>
        <w:tc>
          <w:tcPr>
            <w:tcW w:type="dxa" w:w="4997"/>
            <w:tcMar>
              <w:top w:w="100" w:type="dxa"/>
              <w:start w:w="120" w:type="dxa"/>
              <w:bottom w:w="100" w:type="dxa"/>
              <w:end w:w="120" w:type="dxa"/>
            </w:tcMar>
            <w:vAlign w:val="top"/>
          </w:tcPr>
          <w:p>
            <w:r>
              <w:rPr>
                <w:b/>
                <w:color w:val="435F84"/>
                <w:sz w:val="18"/>
              </w:rPr>
              <w:t>Multiculturalism</w:t>
            </w:r>
          </w:p>
        </w:tc>
        <w:tc>
          <w:tcPr>
            <w:tcW w:type="dxa" w:w="4997"/>
            <w:tcMar>
              <w:top w:w="100" w:type="dxa"/>
              <w:start w:w="120" w:type="dxa"/>
              <w:bottom w:w="100" w:type="dxa"/>
              <w:end w:w="120" w:type="dxa"/>
            </w:tcMar>
            <w:vAlign w:val="top"/>
          </w:tcPr>
          <w:p>
            <w:r>
              <w:rPr>
                <w:sz w:val="18"/>
              </w:rPr>
              <w:t>A policy or social approach that recognises cultural diversity within a common political community.</w:t>
            </w:r>
          </w:p>
        </w:tc>
      </w:tr>
      <w:tr>
        <w:tc>
          <w:tcPr>
            <w:tcW w:type="dxa" w:w="4997"/>
            <w:tcMar>
              <w:top w:w="100" w:type="dxa"/>
              <w:start w:w="120" w:type="dxa"/>
              <w:bottom w:w="100" w:type="dxa"/>
              <w:end w:w="120" w:type="dxa"/>
            </w:tcMar>
            <w:vAlign w:val="top"/>
          </w:tcPr>
          <w:p>
            <w:r>
              <w:rPr>
                <w:b/>
                <w:color w:val="435F84"/>
                <w:sz w:val="18"/>
              </w:rPr>
              <w:t>Integration</w:t>
            </w:r>
          </w:p>
        </w:tc>
        <w:tc>
          <w:tcPr>
            <w:tcW w:type="dxa" w:w="4997"/>
            <w:tcMar>
              <w:top w:w="100" w:type="dxa"/>
              <w:start w:w="120" w:type="dxa"/>
              <w:bottom w:w="100" w:type="dxa"/>
              <w:end w:w="120" w:type="dxa"/>
            </w:tcMar>
            <w:vAlign w:val="top"/>
          </w:tcPr>
          <w:p>
            <w:r>
              <w:rPr>
                <w:sz w:val="18"/>
              </w:rPr>
              <w:t>Participation of individuals and groups in shared civic, economic and political institutions.</w:t>
            </w:r>
          </w:p>
        </w:tc>
      </w:tr>
      <w:tr>
        <w:tc>
          <w:tcPr>
            <w:tcW w:type="dxa" w:w="4997"/>
            <w:tcMar>
              <w:top w:w="100" w:type="dxa"/>
              <w:start w:w="120" w:type="dxa"/>
              <w:bottom w:w="100" w:type="dxa"/>
              <w:end w:w="120" w:type="dxa"/>
            </w:tcMar>
            <w:vAlign w:val="top"/>
          </w:tcPr>
          <w:p>
            <w:r>
              <w:rPr>
                <w:b/>
                <w:color w:val="435F84"/>
                <w:sz w:val="18"/>
              </w:rPr>
              <w:t>Non-discrimination</w:t>
            </w:r>
          </w:p>
        </w:tc>
        <w:tc>
          <w:tcPr>
            <w:tcW w:type="dxa" w:w="4997"/>
            <w:tcMar>
              <w:top w:w="100" w:type="dxa"/>
              <w:start w:w="120" w:type="dxa"/>
              <w:bottom w:w="100" w:type="dxa"/>
              <w:end w:w="120" w:type="dxa"/>
            </w:tcMar>
            <w:vAlign w:val="top"/>
          </w:tcPr>
          <w:p>
            <w:r>
              <w:rPr>
                <w:sz w:val="18"/>
              </w:rPr>
              <w:t>The principle that rights and legal protections should not be denied on prohibited grounds.</w:t>
            </w:r>
          </w:p>
        </w:tc>
      </w:tr>
      <w:tr>
        <w:tc>
          <w:tcPr>
            <w:tcW w:type="dxa" w:w="4997"/>
            <w:tcMar>
              <w:top w:w="100" w:type="dxa"/>
              <w:start w:w="120" w:type="dxa"/>
              <w:bottom w:w="100" w:type="dxa"/>
              <w:end w:w="120" w:type="dxa"/>
            </w:tcMar>
            <w:vAlign w:val="top"/>
          </w:tcPr>
          <w:p>
            <w:r>
              <w:rPr>
                <w:b/>
                <w:color w:val="435F84"/>
                <w:sz w:val="18"/>
              </w:rPr>
              <w:t>Universal Periodic Review</w:t>
            </w:r>
          </w:p>
        </w:tc>
        <w:tc>
          <w:tcPr>
            <w:tcW w:type="dxa" w:w="4997"/>
            <w:tcMar>
              <w:top w:w="100" w:type="dxa"/>
              <w:start w:w="120" w:type="dxa"/>
              <w:bottom w:w="100" w:type="dxa"/>
              <w:end w:w="120" w:type="dxa"/>
            </w:tcMar>
            <w:vAlign w:val="top"/>
          </w:tcPr>
          <w:p>
            <w:r>
              <w:rPr>
                <w:sz w:val="18"/>
              </w:rPr>
              <w:t>A peer-review process under the Human Rights Council covering the human-rights record of every UN Member State.</w:t>
            </w:r>
          </w:p>
        </w:tc>
      </w:tr>
      <w:tr>
        <w:tc>
          <w:tcPr>
            <w:tcW w:type="dxa" w:w="4997"/>
            <w:tcMar>
              <w:top w:w="100" w:type="dxa"/>
              <w:start w:w="120" w:type="dxa"/>
              <w:bottom w:w="100" w:type="dxa"/>
              <w:end w:w="120" w:type="dxa"/>
            </w:tcMar>
            <w:vAlign w:val="top"/>
          </w:tcPr>
          <w:p>
            <w:r>
              <w:rPr>
                <w:b/>
                <w:color w:val="435F84"/>
                <w:sz w:val="18"/>
              </w:rPr>
              <w:t>Minority Rights</w:t>
            </w:r>
          </w:p>
        </w:tc>
        <w:tc>
          <w:tcPr>
            <w:tcW w:type="dxa" w:w="4997"/>
            <w:tcMar>
              <w:top w:w="100" w:type="dxa"/>
              <w:start w:w="120" w:type="dxa"/>
              <w:bottom w:w="100" w:type="dxa"/>
              <w:end w:w="120" w:type="dxa"/>
            </w:tcMar>
            <w:vAlign w:val="top"/>
          </w:tcPr>
          <w:p>
            <w:r>
              <w:rPr>
                <w:sz w:val="18"/>
              </w:rPr>
              <w:t>Protections for persons belonging to minority communities, including cultural, linguistic and religious participation.</w:t>
            </w:r>
          </w:p>
        </w:tc>
      </w:tr>
    </w:tbl>
    <w:p/>
    <w:p>
      <w:pPr>
        <w:pStyle w:val="Heading1"/>
      </w:pPr>
      <w:r>
        <w:t>Sources &amp; Further Reading</w:t>
      </w:r>
    </w:p>
    <w:p>
      <w:r>
        <w:rPr>
          <w:b/>
          <w:color w:val="112B4E"/>
        </w:rPr>
        <w:t xml:space="preserve">OHCHR — Human Rights Mechanisms — </w:t>
      </w:r>
      <w:r>
        <w:rPr>
          <w:color w:val="435F84"/>
          <w:sz w:val="17"/>
        </w:rPr>
        <w:t>https://europe.ohchr.org/human-rights/human-rights-mechanism</w:t>
      </w:r>
    </w:p>
    <w:p>
      <w:r>
        <w:rPr>
          <w:b/>
          <w:color w:val="112B4E"/>
        </w:rPr>
        <w:t xml:space="preserve">OHCHR — Universal Periodic Review FAQ — </w:t>
      </w:r>
      <w:r>
        <w:rPr>
          <w:color w:val="435F84"/>
          <w:sz w:val="17"/>
        </w:rPr>
        <w:t>https://www.ohchr.org/Documents/Publications/FSheet38_FAQ_HR_CC_EN.pdf</w:t>
      </w:r>
    </w:p>
    <w:p>
      <w:r>
        <w:rPr>
          <w:b/>
          <w:color w:val="112B4E"/>
        </w:rPr>
        <w:t xml:space="preserve">UN — Equality and Non-discrimination — </w:t>
      </w:r>
      <w:r>
        <w:rPr>
          <w:color w:val="435F84"/>
          <w:sz w:val="17"/>
        </w:rPr>
        <w:t>https://www.un.org/ruleoflaw/en/thematic-areas/human-rights/equality-and-non-discrimination</w:t>
      </w:r>
    </w:p>
    <w:p>
      <w:r>
        <w:rPr>
          <w:b/>
          <w:color w:val="112B4E"/>
        </w:rPr>
        <w:t xml:space="preserve">UN — Universal Declaration of Human Rights — </w:t>
      </w:r>
      <w:r>
        <w:rPr>
          <w:color w:val="435F84"/>
          <w:sz w:val="17"/>
        </w:rPr>
        <w:t>https://www.un.org/en/node/124305</w:t>
      </w:r>
    </w:p>
    <w:sectPr w:rsidR="00FC693F" w:rsidRPr="0006063C" w:rsidSect="00034616">
      <w:headerReference w:type="default" r:id="rId9"/>
      <w:footerReference w:type="default" r:id="rId10"/>
      <w:pgSz w:w="12240" w:h="15840"/>
      <w:pgMar w:top="1037" w:right="1123" w:bottom="936"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96D72"/>
        <w:sz w:val="16"/>
      </w:rPr>
      <w:t xml:space="preserve">JIRSMUN 8.0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B88935"/>
        <w:sz w:val="17"/>
      </w:rPr>
      <w:t>JIRSMUN 8.0   /   BACKGROUND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282D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b/>
      <w:bCs/>
      <w:color w:val="112B4E"/>
      <w:sz w:val="31"/>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b/>
      <w:bCs/>
      <w:color w:val="435F8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Georgia" w:hAnsi="Georgia"/>
      <w:b w:val="0"/>
      <w:color w:val="112B4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