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jc w:val="left"/>
      </w:pPr>
      <w:r>
        <w:rPr>
          <w:rFonts w:ascii="Georgia" w:hAnsi="Georgia"/>
          <w:color w:val="17365D"/>
          <w:sz w:val="68"/>
        </w:rPr>
        <w:t>UNCSW</w:t>
      </w:r>
    </w:p>
    <w:p>
      <w:pPr>
        <w:spacing w:before="40" w:after="80"/>
      </w:pPr>
      <w:r>
        <w:rPr>
          <w:rFonts w:ascii="Aptos" w:hAnsi="Aptos"/>
          <w:b/>
          <w:color w:val="C79234"/>
          <w:sz w:val="16"/>
        </w:rPr>
        <w:t>INTERMEDIATE COMMITTEE</w:t>
      </w:r>
    </w:p>
    <w:p>
      <w:pPr>
        <w:spacing w:after="240"/>
      </w:pPr>
      <w:r>
        <w:rPr>
          <w:rFonts w:ascii="Georgia" w:hAnsi="Georgia"/>
          <w:color w:val="17365D"/>
          <w:sz w:val="36"/>
        </w:rPr>
        <w:t>United Nations Commission on the Status of Women</w:t>
      </w:r>
    </w:p>
    <w:p>
      <w:pPr>
        <w:spacing w:line="259" w:lineRule="auto" w:after="120"/>
      </w:pPr>
      <w:r>
        <w:t>Deliberating upon the intersection of race, ethnicity, and gender in systemic discrimination, state violence, and social exclusion across modern societies.</w:t>
      </w:r>
    </w:p>
    <w:tbl>
      <w:tblPr>
        <w:tblW w:type="auto" w:w="0"/>
        <w:jc w:val="center"/>
        <w:tblLayout w:type="autofit"/>
        <w:tblLook w:firstColumn="1" w:firstRow="1" w:lastColumn="0" w:lastRow="0" w:noHBand="0" w:noVBand="1" w:val="04A0"/>
      </w:tblPr>
      <w:tblGrid>
        <w:gridCol w:w="9994"/>
      </w:tblGrid>
      <w:tr>
        <w:tc>
          <w:tcPr>
            <w:tcW w:type="dxa" w:w="9994"/>
            <w:shd w:fill="F6F3EC"/>
            <w:vAlign w:val="center"/>
          </w:tcPr>
          <w:p>
            <w:pPr>
              <w:spacing w:after="40"/>
            </w:pPr>
            <w:r>
              <w:rPr>
                <w:b/>
                <w:color w:val="C79234"/>
                <w:sz w:val="16"/>
              </w:rPr>
              <w:t>JIRSMUN 8.0</w:t>
            </w:r>
          </w:p>
          <w:p>
            <w:pPr>
              <w:spacing w:after="40"/>
            </w:pPr>
            <w:r>
              <w:rPr>
                <w:rFonts w:ascii="Georgia" w:hAnsi="Georgia"/>
                <w:color w:val="17365D"/>
                <w:sz w:val="22"/>
              </w:rPr>
              <w:t>Verbum Vincere Ordinance — To Conquer With Words</w:t>
            </w:r>
          </w:p>
        </w:tc>
      </w:tr>
    </w:tbl>
    <w:p>
      <w:pPr>
        <w:spacing w:after="20"/>
      </w:pPr>
    </w:p>
    <w:p>
      <w:pPr>
        <w:spacing w:line="259" w:lineRule="auto" w:after="120"/>
      </w:pPr>
      <w:r>
        <w:t>This background guide introduces the principal concepts, international frameworks and policy questions relevant to the agenda. It is designed as a starting point for independent research rather than a substitute for country-specific preparation.</w:t>
      </w:r>
    </w:p>
    <w:p>
      <w:r>
        <w:br w:type="page"/>
      </w:r>
    </w:p>
    <w:p>
      <w:pPr>
        <w:spacing w:before="40" w:after="80"/>
      </w:pPr>
      <w:r>
        <w:rPr>
          <w:rFonts w:ascii="Aptos" w:hAnsi="Aptos"/>
          <w:b/>
          <w:color w:val="C79234"/>
          <w:sz w:val="16"/>
        </w:rPr>
        <w:t>01  /  COMMITTEE MANDATE</w:t>
      </w:r>
    </w:p>
    <w:p>
      <w:pPr>
        <w:pStyle w:val="Heading1"/>
      </w:pPr>
      <w:r>
        <w:t>The Commission and the Agenda</w:t>
      </w:r>
    </w:p>
    <w:p>
      <w:pPr>
        <w:spacing w:line="259" w:lineRule="auto" w:after="120"/>
      </w:pPr>
      <w:r>
        <w:t>The Commission on the Status of Women (CSW) is the principal global intergovernmental body dedicated to the promotion of gender equality and the empowerment of women. Its work includes documenting conditions affecting women, developing international standards and reviewing progress toward gender equality. JIRSMUN uses the UNCSW label for this simulation.</w:t>
      </w:r>
    </w:p>
    <w:p>
      <w:pPr>
        <w:spacing w:line="259" w:lineRule="auto" w:after="120"/>
      </w:pPr>
      <w:r>
        <w:t>The JIRSMUN 8.0 agenda examines discrimination through an explicitly intersectional lens. It asks delegates to consider how race, ethnicity and gender can interact within institutions, laws, public services, political systems and security structures, and how these interactions can shape exposure to violence and exclusion.</w:t>
      </w:r>
    </w:p>
    <w:p>
      <w:pPr>
        <w:spacing w:line="259" w:lineRule="auto" w:after="120"/>
      </w:pPr>
      <w:r>
        <w:t>The agenda does not assume that all experiences or policies operate identically across states. Delegates should identify the relevant domestic, regional and historical context of their assigned country and distinguish documented conditions from contested interpretations.</w:t>
      </w:r>
    </w:p>
    <w:p>
      <w:pPr>
        <w:spacing w:before="40" w:after="80"/>
      </w:pPr>
      <w:r>
        <w:rPr>
          <w:rFonts w:ascii="Aptos" w:hAnsi="Aptos"/>
          <w:b/>
          <w:color w:val="C79234"/>
          <w:sz w:val="16"/>
        </w:rPr>
        <w:t>02  /  WHY INTERSECTIONALITY MATTERS</w:t>
      </w:r>
    </w:p>
    <w:p>
      <w:pPr>
        <w:pStyle w:val="Heading1"/>
      </w:pPr>
      <w:r>
        <w:t>More Than One Axis of Discrimination</w:t>
      </w:r>
    </w:p>
    <w:p>
      <w:pPr>
        <w:spacing w:line="259" w:lineRule="auto" w:after="120"/>
      </w:pPr>
      <w:r>
        <w:t>International human-rights practice increasingly recognises that discrimination may occur on multiple grounds at the same time. CEDAW General Recommendation No. 25 notes that certain groups of women can experience multiple forms of discrimination based on factors including race, ethnic identity, religion, disability, age, class and other characteristics, and that these forms can compound disadvantage.</w:t>
      </w:r>
    </w:p>
    <w:p>
      <w:pPr>
        <w:spacing w:line="259" w:lineRule="auto" w:after="120"/>
      </w:pPr>
      <w:r>
        <w:t>For this committee, intersectionality is useful as an analytical framework: the same policy may affect different groups of women differently because access to education, work, healthcare, housing, legal remedies or political participation is shaped by several social and institutional factors at once.</w:t>
      </w:r>
    </w:p>
    <w:tbl>
      <w:tblPr>
        <w:tblW w:type="auto" w:w="0"/>
        <w:jc w:val="center"/>
        <w:tblLayout w:type="autofit"/>
        <w:tblLook w:firstColumn="1" w:firstRow="1" w:lastColumn="0" w:lastRow="0" w:noHBand="0" w:noVBand="1" w:val="04A0"/>
      </w:tblPr>
      <w:tblGrid>
        <w:gridCol w:w="9994"/>
      </w:tblGrid>
      <w:tr>
        <w:tc>
          <w:tcPr>
            <w:tcW w:type="dxa" w:w="9994"/>
            <w:shd w:fill="F6F3EC"/>
            <w:vAlign w:val="center"/>
          </w:tcPr>
          <w:p>
            <w:pPr>
              <w:spacing w:after="40"/>
            </w:pPr>
            <w:r>
              <w:rPr>
                <w:b/>
                <w:color w:val="C79234"/>
                <w:sz w:val="16"/>
              </w:rPr>
              <w:t>KEY DISTINCTION</w:t>
            </w:r>
          </w:p>
          <w:p>
            <w:pPr>
              <w:spacing w:after="40"/>
            </w:pPr>
            <w:r>
              <w:rPr>
                <w:rFonts w:ascii="Georgia" w:hAnsi="Georgia"/>
                <w:color w:val="17365D"/>
                <w:sz w:val="22"/>
              </w:rPr>
              <w:t>Intersectional analysis asks how systems and identities interact; it does not require delegates to assume that every member of a particular group shares the same experience.</w:t>
            </w:r>
          </w:p>
        </w:tc>
      </w:tr>
    </w:tbl>
    <w:p>
      <w:pPr>
        <w:spacing w:after="20"/>
      </w:pPr>
    </w:p>
    <w:p>
      <w:r>
        <w:br w:type="page"/>
      </w:r>
    </w:p>
    <w:p>
      <w:pPr>
        <w:spacing w:before="40" w:after="80"/>
      </w:pPr>
      <w:r>
        <w:rPr>
          <w:rFonts w:ascii="Aptos" w:hAnsi="Aptos"/>
          <w:b/>
          <w:color w:val="C79234"/>
          <w:sz w:val="16"/>
        </w:rPr>
        <w:t>03  /  THE INTERNATIONAL FRAMEWORK</w:t>
      </w:r>
    </w:p>
    <w:p>
      <w:pPr>
        <w:pStyle w:val="Heading1"/>
      </w:pPr>
      <w:r>
        <w:t>Existing Instruments and Institutions</w:t>
      </w:r>
    </w:p>
    <w:p>
      <w:pPr>
        <w:spacing w:line="259" w:lineRule="auto" w:after="120"/>
      </w:pPr>
      <w:r>
        <w:t>Several international frameworks are relevant to the agenda. The Convention on the Elimination of All Forms of Discrimination against Women (CEDAW) establishes obligations concerning discrimination against women and is a cornerstone of the international women’s-rights framework. CEDAW implementation is supported by the Committee on the Elimination of Discrimination against Women, while the Commission on the Status of Women operates as the principal intergovernmental policy forum on gender equality.</w:t>
      </w:r>
    </w:p>
    <w:p>
      <w:pPr>
        <w:spacing w:line="259" w:lineRule="auto" w:after="120"/>
      </w:pPr>
      <w:r>
        <w:t>The International Convention on the Elimination of All Forms of Racial Discrimination (ICERD) provides a parallel treaty framework addressing racial discrimination. As of September 2026, the UN Treaty Collection records 182 States parties to ICERD. For the agenda, this creates an important question of how gender-specific concerns and racial-discrimination obligations should interact without duplicating existing mechanisms.</w:t>
      </w:r>
    </w:p>
    <w:p>
      <w:pPr>
        <w:spacing w:line="259" w:lineRule="auto" w:after="120"/>
      </w:pPr>
      <w:r>
        <w:t>The Beijing Declaration and Platform for Action, adopted by 189 governments in 1995, provides a broad policy framework covering twelve critical areas of concern, including poverty, education, health, violence, armed conflict, the economy, decision-making, human rights, media, environment and the girl child. In 2025 the Commission on the Status of Women adopted a political declaration urging full and accelerated implementation of the Platform.</w:t>
      </w:r>
    </w:p>
    <w:p>
      <w:pPr>
        <w:spacing w:line="259" w:lineRule="auto" w:after="120"/>
      </w:pPr>
      <w:r>
        <w:t>The Durban Declaration and Programme of Action addresses racism, racial discrimination, xenophobia and related intolerance. The UN describes the DDPA as a non-binding political commitment and highlights measures involving education, healthcare, employment, minority rights and gender-responsive approaches to combating racism.</w:t>
      </w:r>
    </w:p>
    <w:p>
      <w:pPr>
        <w:spacing w:before="40" w:after="80"/>
      </w:pPr>
      <w:r>
        <w:rPr>
          <w:rFonts w:ascii="Aptos" w:hAnsi="Aptos"/>
          <w:b/>
          <w:color w:val="C79234"/>
          <w:sz w:val="16"/>
        </w:rPr>
        <w:t>04  /  SYSTEMIC DISCRIMINATION</w:t>
      </w:r>
    </w:p>
    <w:p>
      <w:pPr>
        <w:pStyle w:val="Heading1"/>
      </w:pPr>
      <w:r>
        <w:t>From Individual Acts to Institutions</w:t>
      </w:r>
    </w:p>
    <w:p>
      <w:pPr>
        <w:spacing w:line="259" w:lineRule="auto" w:after="120"/>
      </w:pPr>
      <w:r>
        <w:t>Systemic discrimination refers to patterns in rules, institutional practices, social norms or decision-making that produce unequal outcomes or unequal access, even where discrimination is not expressed through an explicit individual order. A committee response therefore needs to examine institutions as well as individual conduct.</w:t>
      </w:r>
    </w:p>
    <w:p>
      <w:pPr>
        <w:spacing w:line="259" w:lineRule="auto" w:after="120"/>
      </w:pPr>
      <w:r>
        <w:t>Relevant sectors include education, employment, healthcare, housing, access to justice, political participation, migration, policing, prisons and digital systems. Delegates should ask what data would demonstrate an inequality, what mechanisms could cause it, and what policy intervention is within the mandate of an intergovernmental body.</w:t>
      </w:r>
    </w:p>
    <w:p>
      <w:r>
        <w:br w:type="page"/>
      </w:r>
    </w:p>
    <w:p>
      <w:pPr>
        <w:spacing w:before="40" w:after="80"/>
      </w:pPr>
      <w:r>
        <w:rPr>
          <w:rFonts w:ascii="Aptos" w:hAnsi="Aptos"/>
          <w:b/>
          <w:color w:val="C79234"/>
          <w:sz w:val="16"/>
        </w:rPr>
        <w:t>05  /  STATE VIOLENCE AND PROTECTION</w:t>
      </w:r>
    </w:p>
    <w:p>
      <w:pPr>
        <w:pStyle w:val="Heading1"/>
      </w:pPr>
      <w:r>
        <w:t>Security, Law Enforcement and Accountability</w:t>
      </w:r>
    </w:p>
    <w:p>
      <w:pPr>
        <w:spacing w:line="259" w:lineRule="auto" w:after="120"/>
      </w:pPr>
      <w:r>
        <w:t>The agenda also examines state violence. This may include discriminatory policing, excessive use of force, unequal treatment by courts or security services, detention practices, conflict-related abuses and failures to protect vulnerable groups from violence. Delegates should distinguish allegations, established findings and politically contested claims.</w:t>
      </w:r>
    </w:p>
    <w:p>
      <w:pPr>
        <w:spacing w:line="259" w:lineRule="auto" w:after="120"/>
      </w:pPr>
      <w:r>
        <w:t>A central policy issue is accountability. Mechanisms may include independent investigations, judicial review, national human-rights institutions, equality bodies, data collection, training and reporting requirements. International mechanisms can support capacity-building and monitoring, but their authority differs from that of domestic courts and legislatures.</w:t>
      </w:r>
    </w:p>
    <w:p>
      <w:pPr>
        <w:spacing w:line="259" w:lineRule="auto" w:after="120"/>
      </w:pPr>
      <w:r>
        <w:t>The Durban Declaration and Programme of Action specifically calls for measures that address racial discrimination while mainstreaming a gender perspective, including action concerning violence, education, healthcare, employment and the treatment of minorities.</w:t>
      </w:r>
    </w:p>
    <w:p>
      <w:pPr>
        <w:spacing w:before="40" w:after="80"/>
      </w:pPr>
      <w:r>
        <w:rPr>
          <w:rFonts w:ascii="Aptos" w:hAnsi="Aptos"/>
          <w:b/>
          <w:color w:val="C79234"/>
          <w:sz w:val="16"/>
        </w:rPr>
        <w:t>06  /  SOCIAL EXCLUSION</w:t>
      </w:r>
    </w:p>
    <w:p>
      <w:pPr>
        <w:pStyle w:val="Heading1"/>
      </w:pPr>
      <w:r>
        <w:t>Participation, Representation and Access</w:t>
      </w:r>
    </w:p>
    <w:p>
      <w:pPr>
        <w:spacing w:line="259" w:lineRule="auto" w:after="120"/>
      </w:pPr>
      <w:r>
        <w:t>Social exclusion can be understood as the process through which individuals or groups face barriers to full participation in economic, political, social or cultural life. For women affected by multiple forms of discrimination, exclusion can appear as limited political representation, unequal access to public services, barriers to employment or education, or reduced access to remedies when rights are violated.</w:t>
      </w:r>
    </w:p>
    <w:p>
      <w:pPr>
        <w:spacing w:line="259" w:lineRule="auto" w:after="120"/>
      </w:pPr>
      <w:r>
        <w:t>The Beijing framework places particular emphasis on removing structural barriers, discriminatory norms and gender stereotypes, while strengthening institutions that promote gender equality and the empowerment of women and girls. The challenge for delegates is to translate broad commitments into measurable and implementable policies.</w:t>
      </w:r>
    </w:p>
    <w:p>
      <w:pPr>
        <w:spacing w:before="40" w:after="80"/>
      </w:pPr>
      <w:r>
        <w:rPr>
          <w:rFonts w:ascii="Aptos" w:hAnsi="Aptos"/>
          <w:b/>
          <w:color w:val="C79234"/>
          <w:sz w:val="16"/>
        </w:rPr>
        <w:t>07  /  POLICY QUESTIONS</w:t>
      </w:r>
    </w:p>
    <w:p>
      <w:pPr>
        <w:pStyle w:val="Heading1"/>
      </w:pPr>
      <w:r>
        <w:t>Questions for Delegates</w:t>
      </w:r>
    </w:p>
    <w:p>
      <w:pPr>
        <w:spacing w:after="60"/>
        <w:ind w:left="259" w:hanging="173"/>
      </w:pPr>
      <w:r>
        <w:rPr>
          <w:color w:val="C79234"/>
        </w:rPr>
        <w:t xml:space="preserve">• </w:t>
      </w:r>
      <w:r>
        <w:t>How should governments collect and publish data capable of identifying intersecting forms of discrimination while protecting privacy?</w:t>
      </w:r>
    </w:p>
    <w:p>
      <w:pPr>
        <w:spacing w:after="60"/>
        <w:ind w:left="259" w:hanging="173"/>
      </w:pPr>
      <w:r>
        <w:rPr>
          <w:color w:val="C79234"/>
        </w:rPr>
        <w:t xml:space="preserve">• </w:t>
      </w:r>
      <w:r>
        <w:t>What legal and institutional mechanisms can address discrimination affecting women on more than one ground?</w:t>
      </w:r>
    </w:p>
    <w:p>
      <w:pPr>
        <w:spacing w:after="60"/>
        <w:ind w:left="259" w:hanging="173"/>
      </w:pPr>
      <w:r>
        <w:rPr>
          <w:color w:val="C79234"/>
        </w:rPr>
        <w:t xml:space="preserve">• </w:t>
      </w:r>
      <w:r>
        <w:t>How should states investigate allegations of discriminatory violence by law-enforcement or security institutions?</w:t>
      </w:r>
    </w:p>
    <w:p>
      <w:pPr>
        <w:spacing w:after="60"/>
        <w:ind w:left="259" w:hanging="173"/>
      </w:pPr>
      <w:r>
        <w:rPr>
          <w:color w:val="C79234"/>
        </w:rPr>
        <w:t xml:space="preserve">• </w:t>
      </w:r>
      <w:r>
        <w:t>What role should national human-rights institutions and independent equality bodies play?</w:t>
      </w:r>
    </w:p>
    <w:p>
      <w:pPr>
        <w:spacing w:after="60"/>
        <w:ind w:left="259" w:hanging="173"/>
      </w:pPr>
      <w:r>
        <w:rPr>
          <w:color w:val="C79234"/>
        </w:rPr>
        <w:t xml:space="preserve">• </w:t>
      </w:r>
      <w:r>
        <w:t>How can education systems address racial and gender stereotypes without erasing legitimate cultural differences?</w:t>
      </w:r>
    </w:p>
    <w:p>
      <w:pPr>
        <w:spacing w:after="60"/>
        <w:ind w:left="259" w:hanging="173"/>
      </w:pPr>
      <w:r>
        <w:rPr>
          <w:color w:val="C79234"/>
        </w:rPr>
        <w:t xml:space="preserve">• </w:t>
      </w:r>
      <w:r>
        <w:t>What policies can improve access to healthcare, employment, housing and education for marginalised women and girls?</w:t>
      </w:r>
    </w:p>
    <w:p>
      <w:pPr>
        <w:spacing w:after="60"/>
        <w:ind w:left="259" w:hanging="173"/>
      </w:pPr>
      <w:r>
        <w:rPr>
          <w:color w:val="C79234"/>
        </w:rPr>
        <w:t xml:space="preserve">• </w:t>
      </w:r>
      <w:r>
        <w:t>How should international organisations support domestic reforms while respecting national legal systems and local context?</w:t>
      </w:r>
    </w:p>
    <w:p>
      <w:pPr>
        <w:spacing w:after="60"/>
        <w:ind w:left="259" w:hanging="173"/>
      </w:pPr>
      <w:r>
        <w:rPr>
          <w:color w:val="C79234"/>
        </w:rPr>
        <w:t xml:space="preserve">• </w:t>
      </w:r>
      <w:r>
        <w:t>What indicators should be used to measure whether an anti-discrimination policy is actually reducing exclusion?</w:t>
      </w:r>
    </w:p>
    <w:p>
      <w:pPr>
        <w:spacing w:after="60"/>
        <w:ind w:left="259" w:hanging="173"/>
      </w:pPr>
      <w:r>
        <w:rPr>
          <w:color w:val="C79234"/>
        </w:rPr>
        <w:t xml:space="preserve">• </w:t>
      </w:r>
      <w:r>
        <w:t>How can governments strengthen political participation and representation without treating women from minority groups as a single homogeneous category?</w:t>
      </w:r>
    </w:p>
    <w:p>
      <w:pPr>
        <w:spacing w:after="60"/>
        <w:ind w:left="259" w:hanging="173"/>
      </w:pPr>
      <w:r>
        <w:rPr>
          <w:color w:val="C79234"/>
        </w:rPr>
        <w:t xml:space="preserve">• </w:t>
      </w:r>
      <w:r>
        <w:t>What safeguards are necessary to prevent anti-discrimination measures from creating new forms of exclusion?</w:t>
      </w:r>
    </w:p>
    <w:p>
      <w:r>
        <w:br w:type="page"/>
      </w:r>
    </w:p>
    <w:p>
      <w:pPr>
        <w:spacing w:before="40" w:after="80"/>
      </w:pPr>
      <w:r>
        <w:rPr>
          <w:rFonts w:ascii="Aptos" w:hAnsi="Aptos"/>
          <w:b/>
          <w:color w:val="C79234"/>
          <w:sz w:val="16"/>
        </w:rPr>
        <w:t>08  /  KEY CONCEPTS</w:t>
      </w:r>
    </w:p>
    <w:p>
      <w:pPr>
        <w:pStyle w:val="Heading1"/>
      </w:pPr>
      <w:r>
        <w:t>Working Definitions</w:t>
      </w:r>
    </w:p>
    <w:tbl>
      <w:tblPr>
        <w:tblStyle w:val="TableGrid"/>
        <w:tblW w:type="auto" w:w="0"/>
        <w:jc w:val="center"/>
        <w:tblLook w:firstColumn="1" w:firstRow="1" w:lastColumn="0" w:lastRow="0" w:noHBand="0" w:noVBand="1" w:val="04A0"/>
      </w:tblPr>
      <w:tblGrid>
        <w:gridCol w:w="4997"/>
        <w:gridCol w:w="4997"/>
      </w:tblGrid>
      <w:tr>
        <w:tc>
          <w:tcPr>
            <w:tcW w:type="dxa" w:w="4997"/>
            <w:shd w:fill="17365D"/>
          </w:tcPr>
          <w:p>
            <w:r>
              <w:rPr>
                <w:b/>
                <w:color w:val="FFFFFF"/>
                <w:sz w:val="16"/>
              </w:rPr>
              <w:t>TERM</w:t>
            </w:r>
          </w:p>
        </w:tc>
        <w:tc>
          <w:tcPr>
            <w:tcW w:type="dxa" w:w="4997"/>
            <w:shd w:fill="17365D"/>
          </w:tcPr>
          <w:p>
            <w:r>
              <w:rPr>
                <w:b/>
                <w:color w:val="FFFFFF"/>
                <w:sz w:val="16"/>
              </w:rPr>
              <w:t>WORKING DEFINITION</w:t>
            </w:r>
          </w:p>
        </w:tc>
      </w:tr>
      <w:tr>
        <w:tc>
          <w:tcPr>
            <w:tcW w:type="dxa" w:w="4997"/>
          </w:tcPr>
          <w:p>
            <w:r>
              <w:rPr>
                <w:b/>
                <w:color w:val="17365D"/>
              </w:rPr>
              <w:t>Intersectionality</w:t>
            </w:r>
          </w:p>
        </w:tc>
        <w:tc>
          <w:tcPr>
            <w:tcW w:type="dxa" w:w="4997"/>
          </w:tcPr>
          <w:p>
            <w:r>
              <w:rPr>
                <w:sz w:val="18"/>
              </w:rPr>
              <w:t>An analytical approach examining how multiple forms of disadvantage or identity interact.</w:t>
            </w:r>
          </w:p>
        </w:tc>
      </w:tr>
      <w:tr>
        <w:tc>
          <w:tcPr>
            <w:tcW w:type="dxa" w:w="4997"/>
          </w:tcPr>
          <w:p>
            <w:r>
              <w:rPr>
                <w:b/>
                <w:color w:val="17365D"/>
              </w:rPr>
              <w:t>Systemic discrimination</w:t>
            </w:r>
          </w:p>
        </w:tc>
        <w:tc>
          <w:tcPr>
            <w:tcW w:type="dxa" w:w="4997"/>
          </w:tcPr>
          <w:p>
            <w:r>
              <w:rPr>
                <w:sz w:val="18"/>
              </w:rPr>
              <w:t>Unequal treatment or outcomes arising from institutional rules, practices, norms or structures.</w:t>
            </w:r>
          </w:p>
        </w:tc>
      </w:tr>
      <w:tr>
        <w:tc>
          <w:tcPr>
            <w:tcW w:type="dxa" w:w="4997"/>
          </w:tcPr>
          <w:p>
            <w:r>
              <w:rPr>
                <w:b/>
                <w:color w:val="17365D"/>
              </w:rPr>
              <w:t>State violence</w:t>
            </w:r>
          </w:p>
        </w:tc>
        <w:tc>
          <w:tcPr>
            <w:tcW w:type="dxa" w:w="4997"/>
          </w:tcPr>
          <w:p>
            <w:r>
              <w:rPr>
                <w:sz w:val="18"/>
              </w:rPr>
              <w:t>Use or tolerance of coercive force by state institutions in circumstances that may violate domestic or international standards.</w:t>
            </w:r>
          </w:p>
        </w:tc>
      </w:tr>
      <w:tr>
        <w:tc>
          <w:tcPr>
            <w:tcW w:type="dxa" w:w="4997"/>
          </w:tcPr>
          <w:p>
            <w:r>
              <w:rPr>
                <w:b/>
                <w:color w:val="17365D"/>
              </w:rPr>
              <w:t>Social exclusion</w:t>
            </w:r>
          </w:p>
        </w:tc>
        <w:tc>
          <w:tcPr>
            <w:tcW w:type="dxa" w:w="4997"/>
          </w:tcPr>
          <w:p>
            <w:r>
              <w:rPr>
                <w:sz w:val="18"/>
              </w:rPr>
              <w:t>Barriers that prevent individuals or groups from full participation in social, economic, political or cultural life.</w:t>
            </w:r>
          </w:p>
        </w:tc>
      </w:tr>
      <w:tr>
        <w:tc>
          <w:tcPr>
            <w:tcW w:type="dxa" w:w="4997"/>
          </w:tcPr>
          <w:p>
            <w:r>
              <w:rPr>
                <w:b/>
                <w:color w:val="17365D"/>
              </w:rPr>
              <w:t>Substantive equality</w:t>
            </w:r>
          </w:p>
        </w:tc>
        <w:tc>
          <w:tcPr>
            <w:tcW w:type="dxa" w:w="4997"/>
          </w:tcPr>
          <w:p>
            <w:r>
              <w:rPr>
                <w:sz w:val="18"/>
              </w:rPr>
              <w:t>An approach focused on achieving real and effective equality in outcomes and opportunities, not only identical formal treatment.</w:t>
            </w:r>
          </w:p>
        </w:tc>
      </w:tr>
      <w:tr>
        <w:tc>
          <w:tcPr>
            <w:tcW w:type="dxa" w:w="4997"/>
          </w:tcPr>
          <w:p>
            <w:r>
              <w:rPr>
                <w:b/>
                <w:color w:val="17365D"/>
              </w:rPr>
              <w:t>Gender mainstreaming</w:t>
            </w:r>
          </w:p>
        </w:tc>
        <w:tc>
          <w:tcPr>
            <w:tcW w:type="dxa" w:w="4997"/>
          </w:tcPr>
          <w:p>
            <w:r>
              <w:rPr>
                <w:sz w:val="18"/>
              </w:rPr>
              <w:t>Integrating gender considerations into the design, implementation, monitoring and evaluation of policies and programmes.</w:t>
            </w:r>
          </w:p>
        </w:tc>
      </w:tr>
      <w:tr>
        <w:tc>
          <w:tcPr>
            <w:tcW w:type="dxa" w:w="4997"/>
          </w:tcPr>
          <w:p>
            <w:r>
              <w:rPr>
                <w:b/>
                <w:color w:val="17365D"/>
              </w:rPr>
              <w:t>Affirmative / special measures</w:t>
            </w:r>
          </w:p>
        </w:tc>
        <w:tc>
          <w:tcPr>
            <w:tcW w:type="dxa" w:w="4997"/>
          </w:tcPr>
          <w:p>
            <w:r>
              <w:rPr>
                <w:sz w:val="18"/>
              </w:rPr>
              <w:t>Time-bound or targeted measures intended to accelerate effective equality for groups facing persistent disadvantage.</w:t>
            </w:r>
          </w:p>
        </w:tc>
      </w:tr>
    </w:tbl>
    <w:p>
      <w:pPr>
        <w:spacing w:before="40" w:after="80"/>
      </w:pPr>
      <w:r>
        <w:rPr>
          <w:rFonts w:ascii="Aptos" w:hAnsi="Aptos"/>
          <w:b/>
          <w:color w:val="C79234"/>
          <w:sz w:val="16"/>
        </w:rPr>
        <w:t>09  /  BLOC PREPARATION</w:t>
      </w:r>
    </w:p>
    <w:p>
      <w:pPr>
        <w:pStyle w:val="Heading1"/>
      </w:pPr>
      <w:r>
        <w:t>What a Strong Position Should Establish</w:t>
      </w:r>
    </w:p>
    <w:p>
      <w:pPr>
        <w:spacing w:after="60"/>
        <w:ind w:left="259" w:hanging="173"/>
      </w:pPr>
      <w:r>
        <w:rPr>
          <w:color w:val="C79234"/>
        </w:rPr>
        <w:t xml:space="preserve">• </w:t>
      </w:r>
      <w:r>
        <w:t>The national legal and policy framework of the assigned country.</w:t>
      </w:r>
    </w:p>
    <w:p>
      <w:pPr>
        <w:spacing w:after="60"/>
        <w:ind w:left="259" w:hanging="173"/>
      </w:pPr>
      <w:r>
        <w:rPr>
          <w:color w:val="C79234"/>
        </w:rPr>
        <w:t xml:space="preserve">• </w:t>
      </w:r>
      <w:r>
        <w:t>Relevant international obligations and reservations, where applicable.</w:t>
      </w:r>
    </w:p>
    <w:p>
      <w:pPr>
        <w:spacing w:after="60"/>
        <w:ind w:left="259" w:hanging="173"/>
      </w:pPr>
      <w:r>
        <w:rPr>
          <w:color w:val="C79234"/>
        </w:rPr>
        <w:t xml:space="preserve">• </w:t>
      </w:r>
      <w:r>
        <w:t>The groups most affected by the specific problem under discussion and the evidence supporting that assessment.</w:t>
      </w:r>
    </w:p>
    <w:p>
      <w:pPr>
        <w:spacing w:after="60"/>
        <w:ind w:left="259" w:hanging="173"/>
      </w:pPr>
      <w:r>
        <w:rPr>
          <w:color w:val="C79234"/>
        </w:rPr>
        <w:t xml:space="preserve">• </w:t>
      </w:r>
      <w:r>
        <w:t>The institutions responsible for implementation, monitoring and accountability.</w:t>
      </w:r>
    </w:p>
    <w:p>
      <w:pPr>
        <w:spacing w:after="60"/>
        <w:ind w:left="259" w:hanging="173"/>
      </w:pPr>
      <w:r>
        <w:rPr>
          <w:color w:val="C79234"/>
        </w:rPr>
        <w:t xml:space="preserve">• </w:t>
      </w:r>
      <w:r>
        <w:t>A realistic funding, reporting and implementation mechanism rather than only a statement of principle.</w:t>
      </w:r>
    </w:p>
    <w:tbl>
      <w:tblPr>
        <w:tblW w:type="auto" w:w="0"/>
        <w:jc w:val="center"/>
        <w:tblLayout w:type="autofit"/>
        <w:tblLook w:firstColumn="1" w:firstRow="1" w:lastColumn="0" w:lastRow="0" w:noHBand="0" w:noVBand="1" w:val="04A0"/>
      </w:tblPr>
      <w:tblGrid>
        <w:gridCol w:w="9994"/>
      </w:tblGrid>
      <w:tr>
        <w:tc>
          <w:tcPr>
            <w:tcW w:type="dxa" w:w="9994"/>
            <w:shd w:fill="F6F3EC"/>
            <w:vAlign w:val="center"/>
          </w:tcPr>
          <w:p>
            <w:pPr>
              <w:spacing w:after="40"/>
            </w:pPr>
            <w:r>
              <w:rPr>
                <w:b/>
                <w:color w:val="C79234"/>
                <w:sz w:val="16"/>
              </w:rPr>
              <w:t>DELEGATE REMINDER</w:t>
            </w:r>
          </w:p>
          <w:p>
            <w:pPr>
              <w:spacing w:after="40"/>
            </w:pPr>
            <w:r>
              <w:rPr>
                <w:rFonts w:ascii="Georgia" w:hAnsi="Georgia"/>
                <w:color w:val="17365D"/>
                <w:sz w:val="22"/>
              </w:rPr>
              <w:t>Avoid treating race, ethnicity or gender as uniform categories. Strong research identifies differences within groups, explains the evidence, and connects proposals to an institution capable of carrying them out.</w:t>
            </w:r>
          </w:p>
        </w:tc>
      </w:tr>
    </w:tbl>
    <w:p>
      <w:pPr>
        <w:spacing w:after="20"/>
      </w:pPr>
    </w:p>
    <w:p>
      <w:pPr>
        <w:spacing w:before="40" w:after="80"/>
      </w:pPr>
      <w:r>
        <w:rPr>
          <w:rFonts w:ascii="Aptos" w:hAnsi="Aptos"/>
          <w:b/>
          <w:color w:val="C79234"/>
          <w:sz w:val="16"/>
        </w:rPr>
        <w:t>10  /  FURTHER RESEARCH</w:t>
      </w:r>
    </w:p>
    <w:p>
      <w:pPr>
        <w:pStyle w:val="Heading1"/>
      </w:pPr>
      <w:r>
        <w:t>Primary Sources and Further Reading</w:t>
      </w:r>
    </w:p>
    <w:p>
      <w:pPr>
        <w:spacing w:after="80"/>
      </w:pPr>
      <w:r>
        <w:rPr>
          <w:b/>
          <w:color w:val="17365D"/>
        </w:rPr>
        <w:t>JIRSMUN 8.0 — Official Conference Site / UNCSW agenda</w:t>
      </w:r>
      <w:r>
        <w:br/>
        <w:t>https://www.jirsmun.in/</w:t>
      </w:r>
    </w:p>
    <w:p>
      <w:pPr>
        <w:spacing w:after="80"/>
      </w:pPr>
      <w:r>
        <w:rPr>
          <w:b/>
          <w:color w:val="17365D"/>
        </w:rPr>
        <w:t>United Nations — Commission on the Status of Women / Gender Equality</w:t>
      </w:r>
      <w:r>
        <w:br/>
        <w:t>https://www.un.org/en/node/118233</w:t>
      </w:r>
    </w:p>
    <w:p>
      <w:pPr>
        <w:spacing w:after="80"/>
      </w:pPr>
      <w:r>
        <w:rPr>
          <w:b/>
          <w:color w:val="17365D"/>
        </w:rPr>
        <w:t>UN Women — Guiding Documents</w:t>
      </w:r>
      <w:r>
        <w:br/>
        <w:t>https://www.unwomen.org/en/about-us/guiding-documents</w:t>
      </w:r>
    </w:p>
    <w:p>
      <w:pPr>
        <w:spacing w:after="80"/>
      </w:pPr>
      <w:r>
        <w:rPr>
          <w:b/>
          <w:color w:val="17365D"/>
        </w:rPr>
        <w:t>UN — Beijing Declaration and Platform for Action</w:t>
      </w:r>
      <w:r>
        <w:br/>
        <w:t>https://www.un.org/en/development/desa/population/migration/generalassembly/docs/globalcompact/A_CONF.177_20.pdf</w:t>
      </w:r>
    </w:p>
    <w:p>
      <w:pPr>
        <w:spacing w:after="80"/>
      </w:pPr>
      <w:r>
        <w:rPr>
          <w:b/>
          <w:color w:val="17365D"/>
        </w:rPr>
        <w:t>UN Treaty Collection — ICERD</w:t>
      </w:r>
      <w:r>
        <w:br/>
        <w:t>https://treaties.un.org/pages/viewdetails.aspx?chapter=4&amp;mtdsg_no=iv-2&amp;src=treaty</w:t>
      </w:r>
    </w:p>
    <w:p>
      <w:pPr>
        <w:spacing w:after="80"/>
      </w:pPr>
      <w:r>
        <w:rPr>
          <w:b/>
          <w:color w:val="17365D"/>
        </w:rPr>
        <w:t>UN — Durban Declaration and Programme of Action</w:t>
      </w:r>
      <w:r>
        <w:br/>
        <w:t>https://www.un.org/en/fight-racism/background/durban-declaration-and-programme-of-action</w:t>
      </w:r>
    </w:p>
    <w:p>
      <w:pPr>
        <w:spacing w:after="80"/>
      </w:pPr>
      <w:r>
        <w:rPr>
          <w:b/>
          <w:color w:val="17365D"/>
        </w:rPr>
        <w:t>UN — CEDAW General Recommendation No. 25</w:t>
      </w:r>
      <w:r>
        <w:br/>
        <w:t>https://www.un.org/womenwatch/daw/cedaw/recommendations/recomm25/recomm25.html</w:t>
      </w:r>
    </w:p>
    <w:p>
      <w:pPr>
        <w:spacing w:after="80"/>
      </w:pPr>
      <w:r>
        <w:rPr>
          <w:b/>
          <w:color w:val="17365D"/>
        </w:rPr>
        <w:t>UN — CEDAW General Recommendation No. 28</w:t>
      </w:r>
      <w:r>
        <w:br/>
        <w:t>https://digitallibrary.un.org/record/711350?ln=en</w:t>
      </w:r>
    </w:p>
    <w:sectPr w:rsidR="00FC693F" w:rsidRPr="0006063C" w:rsidSect="00034616">
      <w:headerReference w:type="default" r:id="rId9"/>
      <w:footerReference w:type="default" r:id="rId10"/>
      <w:pgSz w:w="12240" w:h="15840"/>
      <w:pgMar w:top="1008" w:right="1123" w:bottom="936"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D6875"/>
        <w:sz w:val="16"/>
      </w:rPr>
      <w:t xml:space="preserve">JIRSMUN 8.0  •  UNCSW  •  </w:t>
    </w:r>
    <w:fldSimple w:instr="PAGE">
      <w:r>
        <w:rPr>
          <w:sz w:val="16"/>
        </w:rPr>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C79234"/>
        <w:sz w:val="16"/>
      </w:rPr>
      <w:t>JIRSMUN 8.0  /  BACKGROUND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3038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60"/>
      <w:outlineLvl w:val="0"/>
    </w:pPr>
    <w:rPr>
      <w:rFonts w:asciiTheme="majorHAnsi" w:eastAsiaTheme="majorEastAsia" w:hAnsiTheme="majorHAnsi" w:cstheme="majorBidi" w:ascii="Georgia" w:hAnsi="Georgia"/>
      <w:b w:val="0"/>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ascii="Aptos" w:hAnsi="Aptos"/>
      <w:b/>
      <w:bCs/>
      <w:color w:val="C7923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120"/>
      <w:contextualSpacing/>
    </w:pPr>
    <w:rPr>
      <w:rFonts w:asciiTheme="majorHAnsi" w:eastAsiaTheme="majorEastAsia" w:hAnsiTheme="majorHAnsi" w:cstheme="majorBidi" w:ascii="Georgia" w:hAnsi="Georgia"/>
      <w:b w:val="0"/>
      <w:color w:val="17365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20" w:after="200"/>
    </w:pPr>
    <w:rPr>
      <w:rFonts w:asciiTheme="majorHAnsi" w:eastAsiaTheme="majorEastAsia" w:hAnsiTheme="majorHAnsi" w:cstheme="majorBidi" w:ascii="Aptos" w:hAnsi="Aptos"/>
      <w:b w:val="0"/>
      <w:i/>
      <w:iCs/>
      <w:color w:val="5D6875"/>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