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color w:val="B88935"/>
          <w:sz w:val="18"/>
        </w:rPr>
        <w:t>CROSSOVER</w:t>
      </w:r>
    </w:p>
    <w:p>
      <w:pPr>
        <w:pStyle w:val="Title"/>
      </w:pPr>
      <w:r>
        <w:t>Marvel vs DC</w:t>
      </w:r>
    </w:p>
    <w:p>
      <w:pPr>
        <w:spacing w:after="240"/>
      </w:pPr>
      <w:r>
        <w:rPr>
          <w:rFonts w:ascii="Aptos" w:hAnsi="Aptos"/>
          <w:i/>
          <w:color w:val="435F84"/>
          <w:sz w:val="23"/>
        </w:rPr>
        <w:t>Deliberation on the Ratification of the Superhuman Accountability Act Following Global Civilian Casualties.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C8A85A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1EEE7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Aptos" w:hAnsi="Aptos"/>
                <w:b/>
                <w:color w:val="B88935"/>
                <w:sz w:val="17"/>
              </w:rPr>
              <w:t>COMMITTEE NOTE</w:t>
            </w:r>
          </w:p>
          <w:p>
            <w:pPr>
              <w:spacing w:after="0"/>
            </w:pPr>
            <w:r>
              <w:rPr>
                <w:rFonts w:ascii="Aptos" w:hAnsi="Aptos"/>
                <w:color w:val="282D32"/>
                <w:sz w:val="19"/>
              </w:rPr>
              <w:t>All events, actors and institutions involving superhuman abilities are fictional for committee purposes. The guide uses real-world legal concepts only as analytical tools.</w:t>
            </w:r>
          </w:p>
        </w:tc>
      </w:tr>
    </w:tbl>
    <w:p>
      <w:pPr>
        <w:spacing w:after="20"/>
      </w:pPr>
    </w:p>
    <w:p>
      <w:pPr>
        <w:pStyle w:val="Heading1"/>
      </w:pPr>
      <w:r>
        <w:t>1. Committee Premise</w:t>
      </w:r>
    </w:p>
    <w:p>
      <w:r>
        <w:t>This crossover committee is a fictional policy simulation. Delegates represent actors in a world where individuals and organisations possessing extraordinary abilities operate alongside ordinary governments and civilians. A catastrophic series of incidents has produced sustained pressure for a common accountability framework.</w:t>
      </w:r>
    </w:p>
    <w:p>
      <w:pPr>
        <w:pStyle w:val="Heading1"/>
      </w:pPr>
      <w:r>
        <w:t>2. The Superhuman Accountability Act</w:t>
      </w:r>
    </w:p>
    <w:p>
      <w:r>
        <w:t>The proposed Act seeks to establish rules for registration, oversight, intervention and responsibility following large-scale civilian harm. Supporters argue that extraordinary power creates extraordinary public-risk obligations. Opponents may argue that mandatory registration or direct state control can violate privacy, autonomy and due process, especially where powers are inherent rather than technologically acquired.</w:t>
      </w:r>
    </w:p>
    <w:p>
      <w:pPr>
        <w:pStyle w:val="Heading1"/>
      </w:pPr>
      <w:r>
        <w:t>3. The Regulatory Dilemma</w:t>
      </w:r>
    </w:p>
    <w:p>
      <w:r>
        <w:t>The committee must balance public safety against civil liberties. A system that is too weak may fail to deter preventable harm. A system that is too intrusive may convert a public-safety regime into a mechanism of political control. The existence of different power levels, affiliations and methods of intervention also complicates uniform regulation.</w:t>
      </w:r>
    </w:p>
    <w:p>
      <w:pPr>
        <w:pStyle w:val="Heading1"/>
      </w:pPr>
      <w:r>
        <w:t>4. Core Legal and Ethical Questions</w:t>
      </w:r>
    </w:p>
    <w:p>
      <w:r>
        <w:t>Delegates should think in terms of proportionality, due process, accountability, emergency powers, civilian oversight and equal treatment. A key issue is whether responsibility should attach to the possession of extraordinary capabilities, to the misuse of those capabilities, or to failures of reasonable precaution.</w:t>
      </w:r>
    </w:p>
    <w:p>
      <w:pPr>
        <w:pStyle w:val="Heading1"/>
      </w:pPr>
      <w:r>
        <w:t>5. Questions for Delegates</w:t>
      </w:r>
    </w:p>
    <w:p>
      <w:pPr>
        <w:pStyle w:val="ListBullet"/>
        <w:spacing w:after="60"/>
      </w:pPr>
      <w:r>
        <w:t>Who should have authority to license or oversee superhuman activity?</w:t>
      </w:r>
    </w:p>
    <w:p>
      <w:pPr>
        <w:pStyle w:val="ListBullet"/>
        <w:spacing w:after="60"/>
      </w:pPr>
      <w:r>
        <w:t>Should registration be mandatory, voluntary or restricted to high-risk abilities?</w:t>
      </w:r>
    </w:p>
    <w:p>
      <w:pPr>
        <w:pStyle w:val="ListBullet"/>
        <w:spacing w:after="60"/>
      </w:pPr>
      <w:r>
        <w:t>What due-process protections should exist before restrictions are imposed?</w:t>
      </w:r>
    </w:p>
    <w:p>
      <w:pPr>
        <w:pStyle w:val="ListBullet"/>
        <w:spacing w:after="60"/>
      </w:pPr>
      <w:r>
        <w:t>How should liability be determined after large-scale civilian casualties?</w:t>
      </w:r>
    </w:p>
    <w:p>
      <w:pPr>
        <w:pStyle w:val="ListBullet"/>
        <w:spacing w:after="60"/>
      </w:pPr>
      <w:r>
        <w:t>Should emergency government intervention be permitted without prior judicial approval?</w:t>
      </w:r>
    </w:p>
    <w:p>
      <w:pPr>
        <w:pStyle w:val="ListBullet"/>
        <w:spacing w:after="60"/>
      </w:pPr>
      <w:r>
        <w:t>How should international incidents be handled when superhuman actors cross borders?</w:t>
      </w:r>
    </w:p>
    <w:p>
      <w:pPr>
        <w:pStyle w:val="ListBullet"/>
        <w:spacing w:after="60"/>
      </w:pPr>
      <w:r>
        <w:t>Should independent oversight exist above both governments and superhuman organisations?</w:t>
      </w:r>
    </w:p>
    <w:p>
      <w:pPr>
        <w:pStyle w:val="ListBullet"/>
        <w:spacing w:after="60"/>
      </w:pPr>
      <w:r>
        <w:t>What remedies should be available to affected civilians?</w:t>
      </w:r>
    </w:p>
    <w:p>
      <w:pPr>
        <w:pStyle w:val="Heading1"/>
      </w:pPr>
      <w:r>
        <w:t>6. Possible Clauses</w:t>
      </w:r>
    </w:p>
    <w:p>
      <w:pPr>
        <w:pStyle w:val="ListBullet"/>
        <w:spacing w:after="60"/>
      </w:pPr>
      <w:r>
        <w:t>Independent oversight commission</w:t>
      </w:r>
    </w:p>
    <w:p>
      <w:pPr>
        <w:pStyle w:val="ListBullet"/>
        <w:spacing w:after="60"/>
      </w:pPr>
      <w:r>
        <w:t>Risk-based registration framework</w:t>
      </w:r>
    </w:p>
    <w:p>
      <w:pPr>
        <w:pStyle w:val="ListBullet"/>
        <w:spacing w:after="60"/>
      </w:pPr>
      <w:r>
        <w:t>Minimum due-process protections</w:t>
      </w:r>
    </w:p>
    <w:p>
      <w:pPr>
        <w:pStyle w:val="ListBullet"/>
        <w:spacing w:after="60"/>
      </w:pPr>
      <w:r>
        <w:t>Cross-border incident notification</w:t>
      </w:r>
    </w:p>
    <w:p>
      <w:pPr>
        <w:pStyle w:val="ListBullet"/>
        <w:spacing w:after="60"/>
      </w:pPr>
      <w:r>
        <w:t>Civilian compensation mechanism</w:t>
      </w:r>
    </w:p>
    <w:p>
      <w:pPr>
        <w:pStyle w:val="ListBullet"/>
        <w:spacing w:after="60"/>
      </w:pPr>
      <w:r>
        <w:t>Emergency intervention standards</w:t>
      </w:r>
    </w:p>
    <w:p>
      <w:pPr>
        <w:pStyle w:val="ListBullet"/>
        <w:spacing w:after="60"/>
      </w:pPr>
      <w:r>
        <w:t>Periodic review and sunset provisions</w:t>
      </w:r>
    </w:p>
    <w:p>
      <w:pPr>
        <w:pStyle w:val="Heading1"/>
      </w:pPr>
      <w:r>
        <w:t>Key Concepts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E8E1D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12B4E"/>
                <w:sz w:val="17"/>
              </w:rPr>
              <w:t>TERM</w:t>
            </w:r>
          </w:p>
        </w:tc>
        <w:tc>
          <w:tcPr>
            <w:tcW w:type="dxa" w:w="4997"/>
            <w:shd w:fill="E8E1D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12B4E"/>
                <w:sz w:val="17"/>
              </w:rPr>
              <w:t>WORKING DEFINITION</w:t>
            </w:r>
          </w:p>
        </w:tc>
      </w:tr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b/>
                <w:color w:val="435F84"/>
                <w:sz w:val="18"/>
              </w:rPr>
              <w:t>Accountability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8"/>
              </w:rPr>
              <w:t>The obligation of an actor to explain, justify and accept consequences for conduct.</w:t>
            </w:r>
          </w:p>
        </w:tc>
      </w:tr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b/>
                <w:color w:val="435F84"/>
                <w:sz w:val="18"/>
              </w:rPr>
              <w:t>Proportionality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8"/>
              </w:rPr>
              <w:t>The principle that restrictions or responses should be appropriate to the legitimate objective pursued.</w:t>
            </w:r>
          </w:p>
        </w:tc>
      </w:tr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b/>
                <w:color w:val="435F84"/>
                <w:sz w:val="18"/>
              </w:rPr>
              <w:t>Due Process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8"/>
              </w:rPr>
              <w:t>Procedural protections ensuring that decisions affecting rights are made fairly.</w:t>
            </w:r>
          </w:p>
        </w:tc>
      </w:tr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b/>
                <w:color w:val="435F84"/>
                <w:sz w:val="18"/>
              </w:rPr>
              <w:t>Civilian Oversight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8"/>
              </w:rPr>
              <w:t>Supervision by independent or democratically accountable bodies rather than operational actors alone.</w:t>
            </w:r>
          </w:p>
        </w:tc>
      </w:tr>
      <w:tr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b/>
                <w:color w:val="435F84"/>
                <w:sz w:val="18"/>
              </w:rPr>
              <w:t>Extraordinary Capability</w:t>
            </w:r>
          </w:p>
        </w:tc>
        <w:tc>
          <w:tcPr>
            <w:tcW w:type="dxa" w:w="4997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sz w:val="18"/>
              </w:rPr>
              <w:t>A fictional category describing powers that materially exceed ordinary human abilities.</w:t>
            </w:r>
          </w:p>
        </w:tc>
      </w:tr>
    </w:tbl>
    <w:p/>
    <w:p>
      <w:pPr>
        <w:pStyle w:val="Heading1"/>
      </w:pPr>
      <w:r>
        <w:t>Sources &amp; Further Reading</w:t>
      </w:r>
    </w:p>
    <w:p>
      <w:r>
        <w:rPr>
          <w:b/>
          <w:color w:val="112B4E"/>
        </w:rPr>
        <w:t xml:space="preserve">UN — Universal Declaration of Human Rights — </w:t>
      </w:r>
      <w:r>
        <w:rPr>
          <w:color w:val="435F84"/>
          <w:sz w:val="17"/>
        </w:rPr>
        <w:t>https://www.un.org/en/about-us/universal-declaration-of-human-rights</w:t>
      </w:r>
    </w:p>
    <w:p>
      <w:r>
        <w:rPr>
          <w:b/>
          <w:color w:val="112B4E"/>
        </w:rPr>
        <w:t xml:space="preserve">UN — Rule of Law and Human Rights — </w:t>
      </w:r>
      <w:r>
        <w:rPr>
          <w:color w:val="435F84"/>
          <w:sz w:val="17"/>
        </w:rPr>
        <w:t>https://www.un.org/ruleoflaw/en/thematic-areas/human-rights/equality-and-non-discrimination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936" w:left="112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96D72"/>
        <w:sz w:val="16"/>
      </w:rPr>
      <w:t xml:space="preserve">JIRSMUN 8.0   • 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B88935"/>
        <w:sz w:val="17"/>
      </w:rPr>
      <w:t>JIRSMUN 8.0   /   BACKGROUND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color w:val="282D3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Georgia" w:hAnsi="Georgia"/>
      <w:b/>
      <w:bCs/>
      <w:color w:val="112B4E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435F8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12B4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