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color w:val="B88935"/>
          <w:sz w:val="18"/>
        </w:rPr>
        <w:t>UNSC</w:t>
      </w:r>
    </w:p>
    <w:p>
      <w:pPr>
        <w:pStyle w:val="Title"/>
      </w:pPr>
      <w:r>
        <w:t>United Nations Security Council</w:t>
      </w:r>
    </w:p>
    <w:p>
      <w:pPr>
        <w:spacing w:after="240"/>
      </w:pPr>
      <w:r>
        <w:rPr>
          <w:rFonts w:ascii="Aptos" w:hAnsi="Aptos"/>
          <w:i/>
          <w:color w:val="435F84"/>
          <w:sz w:val="23"/>
        </w:rPr>
        <w:t>Addressing the fragmentation of the United Nations following allegations that permanent members manipulated a sentient military AI to engineer global conflict and preserve strategic dominance.</w:t>
      </w:r>
    </w:p>
    <w:tbl>
      <w:tblPr>
        <w:tblW w:type="auto" w:w="0"/>
        <w:jc w:val="center"/>
        <w:tblLook w:firstColumn="1" w:firstRow="1" w:lastColumn="0" w:lastRow="0" w:noHBand="0" w:noVBand="1" w:val="04A0"/>
      </w:tblPr>
      <w:tblGrid>
        <w:gridCol w:w="9994"/>
      </w:tblGrid>
      <w:tr>
        <w:tc>
          <w:tcPr>
            <w:tcW w:type="dxa" w:w="9994"/>
            <w:shd w:fill="C8A85A"/>
          </w:tcPr>
          <w:p>
            <w:r/>
          </w:p>
        </w:tc>
      </w:tr>
    </w:tbl>
    <w:p/>
    <w:tbl>
      <w:tblPr>
        <w:tblW w:type="auto" w:w="0"/>
        <w:jc w:val="center"/>
        <w:tblLook w:firstColumn="1" w:firstRow="1" w:lastColumn="0" w:lastRow="0" w:noHBand="0" w:noVBand="1" w:val="04A0"/>
      </w:tblPr>
      <w:tblGrid>
        <w:gridCol w:w="9994"/>
      </w:tblGrid>
      <w:tr>
        <w:tc>
          <w:tcPr>
            <w:tcW w:type="dxa" w:w="9994"/>
            <w:shd w:fill="F1EEE7"/>
            <w:tcMar>
              <w:top w:w="140" w:type="dxa"/>
              <w:start w:w="180" w:type="dxa"/>
              <w:bottom w:w="140" w:type="dxa"/>
              <w:end w:w="180" w:type="dxa"/>
            </w:tcMar>
          </w:tcPr>
          <w:p>
            <w:r>
              <w:rPr>
                <w:rFonts w:ascii="Aptos" w:hAnsi="Aptos"/>
                <w:b/>
                <w:color w:val="B88935"/>
                <w:sz w:val="17"/>
              </w:rPr>
              <w:t>COMMITTEE NOTE</w:t>
            </w:r>
          </w:p>
          <w:p>
            <w:pPr>
              <w:spacing w:after="0"/>
            </w:pPr>
            <w:r>
              <w:rPr>
                <w:rFonts w:ascii="Aptos" w:hAnsi="Aptos"/>
                <w:color w:val="282D32"/>
                <w:sz w:val="19"/>
              </w:rPr>
              <w:t>This is a fictional crisis scenario built on real international-security institutions and debates. The alleged sentient system and the specific manipulation are not presented as real-world facts.</w:t>
            </w:r>
          </w:p>
        </w:tc>
      </w:tr>
    </w:tbl>
    <w:p>
      <w:pPr>
        <w:spacing w:after="20"/>
      </w:pPr>
    </w:p>
    <w:p>
      <w:pPr>
        <w:pStyle w:val="Heading1"/>
      </w:pPr>
      <w:r>
        <w:t>1. Committee Mandate</w:t>
      </w:r>
    </w:p>
    <w:p>
      <w:r>
        <w:t>The Security Council carries the primary responsibility for maintaining international peace and security. Under Article 24 of the UN Charter, Member States confer this responsibility on the Council, whose framework includes Chapters VI, VII, VIII and XII. Article 27 establishes nine affirmative votes for substantive decisions, including the concurring votes of the permanent members; an abstention by a permanent member does not itself block adoption.</w:t>
      </w:r>
    </w:p>
    <w:p>
      <w:r>
        <w:t>The crisis in this committee is designed to test that institutional architecture. Delegates are not merely investigating an AI incident. They are examining what happens when the states with the greatest formal power are themselves accused of using emerging technology to distort the international system.</w:t>
      </w:r>
    </w:p>
    <w:p>
      <w:pPr>
        <w:pStyle w:val="Heading1"/>
      </w:pPr>
      <w:r>
        <w:t>2. Crisis Premise</w:t>
      </w:r>
    </w:p>
    <w:p>
      <w:r>
        <w:t>In the hypothetical scenario, a highly autonomous military artificial intelligence system has been used across multiple theatres of conflict. Intelligence assessments, escalation recommendations and strategic forecasts appear to have been altered in ways that consistently advantage particular permanent members while increasing mistrust among other states.</w:t>
      </w:r>
    </w:p>
    <w:p>
      <w:r>
        <w:t>Three competing explanations must be kept open: deliberate state manipulation; unintended autonomous behaviour; and fabricated attribution intended to fracture the Council. Delegates should resist treating any one theory as established fact unless evidence is presented in committee.</w:t>
      </w:r>
    </w:p>
    <w:p>
      <w:pPr>
        <w:pStyle w:val="Heading1"/>
      </w:pPr>
      <w:r>
        <w:t>3. Why the Crisis Threatens the UN System</w:t>
      </w:r>
    </w:p>
    <w:p>
      <w:r>
        <w:t>The Security Council is effective only when states believe its decisions are legitimate enough to be implemented. If the information environment itself is manipulated, then attribution, deterrence and collective security can begin to fail simultaneously. A false intelligence assessment can produce a real military response; that response can then create the evidence used to justify the original assessment.</w:t>
      </w:r>
    </w:p>
    <w:p>
      <w:r>
        <w:t>The issue is therefore institutional as much as technological: how should the Council preserve trust while investigating accusations that may implicate its most powerful members?</w:t>
      </w:r>
    </w:p>
    <w:p>
      <w:pPr>
        <w:pStyle w:val="Heading1"/>
      </w:pPr>
      <w:r>
        <w:t>4. International Context</w:t>
      </w:r>
    </w:p>
    <w:p>
      <w:r>
        <w:t>The UN General Assembly has increasingly addressed artificial intelligence in the military domain and its implications for international peace and security. Relevant discussions include concerns around miscalculation, escalation, accountability and meaningful human involvement. The JIRSMUN crisis pushes those real-world debates into a fast-moving Security Council setting.</w:t>
      </w:r>
    </w:p>
    <w:p>
      <w:pPr>
        <w:pStyle w:val="Heading1"/>
      </w:pPr>
      <w:r>
        <w:t>5. Questions for Delegates</w:t>
      </w:r>
    </w:p>
    <w:p>
      <w:pPr>
        <w:pStyle w:val="ListBullet"/>
        <w:spacing w:after="60"/>
      </w:pPr>
      <w:r>
        <w:t>What evidentiary threshold should be required before a permanent member is formally accused?</w:t>
      </w:r>
    </w:p>
    <w:p>
      <w:pPr>
        <w:pStyle w:val="ListBullet"/>
        <w:spacing w:after="60"/>
      </w:pPr>
      <w:r>
        <w:t>Should an independent investigation be authorised, and who should have access to classified evidence?</w:t>
      </w:r>
    </w:p>
    <w:p>
      <w:pPr>
        <w:pStyle w:val="ListBullet"/>
        <w:spacing w:after="60"/>
      </w:pPr>
      <w:r>
        <w:t>How should responsibility be assigned when an autonomous system acts outside a direct political order?</w:t>
      </w:r>
    </w:p>
    <w:p>
      <w:pPr>
        <w:pStyle w:val="ListBullet"/>
        <w:spacing w:after="60"/>
      </w:pPr>
      <w:r>
        <w:t>Can the Council create emergency transparency or verification mechanisms without compromising legitimate national security interests?</w:t>
      </w:r>
    </w:p>
    <w:p>
      <w:pPr>
        <w:pStyle w:val="ListBullet"/>
        <w:spacing w:after="60"/>
      </w:pPr>
      <w:r>
        <w:t>How can the Council prevent retaliatory escalation caused by manipulated intelligence?</w:t>
      </w:r>
    </w:p>
    <w:p>
      <w:pPr>
        <w:pStyle w:val="ListBullet"/>
        <w:spacing w:after="60"/>
      </w:pPr>
      <w:r>
        <w:t>Should the existing veto system remain unchanged when a permanent member is directly implicated in the crisis?</w:t>
      </w:r>
    </w:p>
    <w:p>
      <w:pPr>
        <w:pStyle w:val="ListBullet"/>
        <w:spacing w:after="60"/>
      </w:pPr>
      <w:r>
        <w:t>What minimum level of human oversight should be required for high-consequence military AI systems?</w:t>
      </w:r>
    </w:p>
    <w:p>
      <w:pPr>
        <w:pStyle w:val="ListBullet"/>
        <w:spacing w:after="60"/>
      </w:pPr>
      <w:r>
        <w:t>How can smaller and non-nuclear states participate meaningfully in an AI security framework?</w:t>
      </w:r>
    </w:p>
    <w:p>
      <w:pPr>
        <w:pStyle w:val="Heading1"/>
      </w:pPr>
      <w:r>
        <w:t>6. Possible Directions for Draft Resolutions</w:t>
      </w:r>
    </w:p>
    <w:p>
      <w:pPr>
        <w:pStyle w:val="ListBullet"/>
        <w:spacing w:after="60"/>
      </w:pPr>
      <w:r>
        <w:t>Independent investigation and evidence-preservation mechanisms.</w:t>
      </w:r>
    </w:p>
    <w:p>
      <w:pPr>
        <w:pStyle w:val="ListBullet"/>
        <w:spacing w:after="60"/>
      </w:pPr>
      <w:r>
        <w:t>Confidence-building and incident-notification arrangements between major military powers.</w:t>
      </w:r>
    </w:p>
    <w:p>
      <w:pPr>
        <w:pStyle w:val="ListBullet"/>
        <w:spacing w:after="60"/>
      </w:pPr>
      <w:r>
        <w:t>Standards for human oversight, auditability and emergency intervention.</w:t>
      </w:r>
    </w:p>
    <w:p>
      <w:pPr>
        <w:pStyle w:val="ListBullet"/>
        <w:spacing w:after="60"/>
      </w:pPr>
      <w:r>
        <w:t>Protection against AI-generated misinformation in international crisis management.</w:t>
      </w:r>
    </w:p>
    <w:p>
      <w:pPr>
        <w:pStyle w:val="ListBullet"/>
        <w:spacing w:after="60"/>
      </w:pPr>
      <w:r>
        <w:t>Reporting or transparency measures concerning high-consequence military AI deployments.</w:t>
      </w:r>
    </w:p>
    <w:p>
      <w:pPr>
        <w:pStyle w:val="ListBullet"/>
        <w:spacing w:after="60"/>
      </w:pPr>
      <w:r>
        <w:t>A review mechanism for implementation and future technological developments.</w:t>
      </w:r>
    </w:p>
    <w:p>
      <w:pPr>
        <w:pStyle w:val="Heading1"/>
      </w:pPr>
      <w:r>
        <w:t>Key Concepts</w:t>
      </w:r>
    </w:p>
    <w:tbl>
      <w:tblPr>
        <w:tblW w:type="auto" w:w="0"/>
        <w:jc w:val="center"/>
        <w:tblLayout w:type="autofit"/>
        <w:tblLook w:firstColumn="1" w:firstRow="1" w:lastColumn="0" w:lastRow="0" w:noHBand="0" w:noVBand="1" w:val="04A0"/>
      </w:tblPr>
      <w:tblGrid>
        <w:gridCol w:w="4997"/>
        <w:gridCol w:w="4997"/>
      </w:tblGrid>
      <w:tr>
        <w:tc>
          <w:tcPr>
            <w:tcW w:type="dxa" w:w="4997"/>
            <w:shd w:fill="E8E1D3"/>
            <w:tcMar>
              <w:top w:w="100" w:type="dxa"/>
              <w:start w:w="120" w:type="dxa"/>
              <w:bottom w:w="100" w:type="dxa"/>
              <w:end w:w="120" w:type="dxa"/>
            </w:tcMar>
          </w:tcPr>
          <w:p>
            <w:r>
              <w:rPr>
                <w:b/>
                <w:color w:val="112B4E"/>
                <w:sz w:val="17"/>
              </w:rPr>
              <w:t>TERM</w:t>
            </w:r>
          </w:p>
        </w:tc>
        <w:tc>
          <w:tcPr>
            <w:tcW w:type="dxa" w:w="4997"/>
            <w:shd w:fill="E8E1D3"/>
            <w:tcMar>
              <w:top w:w="100" w:type="dxa"/>
              <w:start w:w="120" w:type="dxa"/>
              <w:bottom w:w="100" w:type="dxa"/>
              <w:end w:w="120" w:type="dxa"/>
            </w:tcMar>
          </w:tcPr>
          <w:p>
            <w:r>
              <w:rPr>
                <w:b/>
                <w:color w:val="112B4E"/>
                <w:sz w:val="17"/>
              </w:rPr>
              <w:t>WORKING DEFINITION</w:t>
            </w:r>
          </w:p>
        </w:tc>
      </w:tr>
      <w:tr>
        <w:tc>
          <w:tcPr>
            <w:tcW w:type="dxa" w:w="4997"/>
            <w:tcMar>
              <w:top w:w="100" w:type="dxa"/>
              <w:start w:w="120" w:type="dxa"/>
              <w:bottom w:w="100" w:type="dxa"/>
              <w:end w:w="120" w:type="dxa"/>
            </w:tcMar>
            <w:vAlign w:val="top"/>
          </w:tcPr>
          <w:p>
            <w:r>
              <w:rPr>
                <w:b/>
                <w:color w:val="435F84"/>
                <w:sz w:val="18"/>
              </w:rPr>
              <w:t>Permanent Member</w:t>
            </w:r>
          </w:p>
        </w:tc>
        <w:tc>
          <w:tcPr>
            <w:tcW w:type="dxa" w:w="4997"/>
            <w:tcMar>
              <w:top w:w="100" w:type="dxa"/>
              <w:start w:w="120" w:type="dxa"/>
              <w:bottom w:w="100" w:type="dxa"/>
              <w:end w:w="120" w:type="dxa"/>
            </w:tcMar>
            <w:vAlign w:val="top"/>
          </w:tcPr>
          <w:p>
            <w:r>
              <w:rPr>
                <w:sz w:val="18"/>
              </w:rPr>
              <w:t>One of the five Security Council members with veto power.</w:t>
            </w:r>
          </w:p>
        </w:tc>
      </w:tr>
      <w:tr>
        <w:tc>
          <w:tcPr>
            <w:tcW w:type="dxa" w:w="4997"/>
            <w:tcMar>
              <w:top w:w="100" w:type="dxa"/>
              <w:start w:w="120" w:type="dxa"/>
              <w:bottom w:w="100" w:type="dxa"/>
              <w:end w:w="120" w:type="dxa"/>
            </w:tcMar>
            <w:vAlign w:val="top"/>
          </w:tcPr>
          <w:p>
            <w:r>
              <w:rPr>
                <w:b/>
                <w:color w:val="435F84"/>
                <w:sz w:val="18"/>
              </w:rPr>
              <w:t>Veto</w:t>
            </w:r>
          </w:p>
        </w:tc>
        <w:tc>
          <w:tcPr>
            <w:tcW w:type="dxa" w:w="4997"/>
            <w:tcMar>
              <w:top w:w="100" w:type="dxa"/>
              <w:start w:w="120" w:type="dxa"/>
              <w:bottom w:w="100" w:type="dxa"/>
              <w:end w:w="120" w:type="dxa"/>
            </w:tcMar>
            <w:vAlign w:val="top"/>
          </w:tcPr>
          <w:p>
            <w:r>
              <w:rPr>
                <w:sz w:val="18"/>
              </w:rPr>
              <w:t>A negative vote by a permanent member that prevents adoption of a substantive Council decision when the required conditions are not otherwise met.</w:t>
            </w:r>
          </w:p>
        </w:tc>
      </w:tr>
      <w:tr>
        <w:tc>
          <w:tcPr>
            <w:tcW w:type="dxa" w:w="4997"/>
            <w:tcMar>
              <w:top w:w="100" w:type="dxa"/>
              <w:start w:w="120" w:type="dxa"/>
              <w:bottom w:w="100" w:type="dxa"/>
              <w:end w:w="120" w:type="dxa"/>
            </w:tcMar>
            <w:vAlign w:val="top"/>
          </w:tcPr>
          <w:p>
            <w:r>
              <w:rPr>
                <w:b/>
                <w:color w:val="435F84"/>
                <w:sz w:val="18"/>
              </w:rPr>
              <w:t>Attribution</w:t>
            </w:r>
          </w:p>
        </w:tc>
        <w:tc>
          <w:tcPr>
            <w:tcW w:type="dxa" w:w="4997"/>
            <w:tcMar>
              <w:top w:w="100" w:type="dxa"/>
              <w:start w:w="120" w:type="dxa"/>
              <w:bottom w:w="100" w:type="dxa"/>
              <w:end w:w="120" w:type="dxa"/>
            </w:tcMar>
            <w:vAlign w:val="top"/>
          </w:tcPr>
          <w:p>
            <w:r>
              <w:rPr>
                <w:sz w:val="18"/>
              </w:rPr>
              <w:t>The process of determining the actor or actors responsible for an action.</w:t>
            </w:r>
          </w:p>
        </w:tc>
      </w:tr>
      <w:tr>
        <w:tc>
          <w:tcPr>
            <w:tcW w:type="dxa" w:w="4997"/>
            <w:tcMar>
              <w:top w:w="100" w:type="dxa"/>
              <w:start w:w="120" w:type="dxa"/>
              <w:bottom w:w="100" w:type="dxa"/>
              <w:end w:w="120" w:type="dxa"/>
            </w:tcMar>
            <w:vAlign w:val="top"/>
          </w:tcPr>
          <w:p>
            <w:r>
              <w:rPr>
                <w:b/>
                <w:color w:val="435F84"/>
                <w:sz w:val="18"/>
              </w:rPr>
              <w:t>Autonomous System</w:t>
            </w:r>
          </w:p>
        </w:tc>
        <w:tc>
          <w:tcPr>
            <w:tcW w:type="dxa" w:w="4997"/>
            <w:tcMar>
              <w:top w:w="100" w:type="dxa"/>
              <w:start w:w="120" w:type="dxa"/>
              <w:bottom w:w="100" w:type="dxa"/>
              <w:end w:w="120" w:type="dxa"/>
            </w:tcMar>
            <w:vAlign w:val="top"/>
          </w:tcPr>
          <w:p>
            <w:r>
              <w:rPr>
                <w:sz w:val="18"/>
              </w:rPr>
              <w:t>A system able to perform functions with limited direct human intervention.</w:t>
            </w:r>
          </w:p>
        </w:tc>
      </w:tr>
      <w:tr>
        <w:tc>
          <w:tcPr>
            <w:tcW w:type="dxa" w:w="4997"/>
            <w:tcMar>
              <w:top w:w="100" w:type="dxa"/>
              <w:start w:w="120" w:type="dxa"/>
              <w:bottom w:w="100" w:type="dxa"/>
              <w:end w:w="120" w:type="dxa"/>
            </w:tcMar>
            <w:vAlign w:val="top"/>
          </w:tcPr>
          <w:p>
            <w:r>
              <w:rPr>
                <w:b/>
                <w:color w:val="435F84"/>
                <w:sz w:val="18"/>
              </w:rPr>
              <w:t>Meaningful Human Control</w:t>
            </w:r>
          </w:p>
        </w:tc>
        <w:tc>
          <w:tcPr>
            <w:tcW w:type="dxa" w:w="4997"/>
            <w:tcMar>
              <w:top w:w="100" w:type="dxa"/>
              <w:start w:w="120" w:type="dxa"/>
              <w:bottom w:w="100" w:type="dxa"/>
              <w:end w:w="120" w:type="dxa"/>
            </w:tcMar>
            <w:vAlign w:val="top"/>
          </w:tcPr>
          <w:p>
            <w:r>
              <w:rPr>
                <w:sz w:val="18"/>
              </w:rPr>
              <w:t>The ability of authorised humans to understand, supervise, constrain and intervene in consequential system behaviour.</w:t>
            </w:r>
          </w:p>
        </w:tc>
      </w:tr>
      <w:tr>
        <w:tc>
          <w:tcPr>
            <w:tcW w:type="dxa" w:w="4997"/>
            <w:tcMar>
              <w:top w:w="100" w:type="dxa"/>
              <w:start w:w="120" w:type="dxa"/>
              <w:bottom w:w="100" w:type="dxa"/>
              <w:end w:w="120" w:type="dxa"/>
            </w:tcMar>
            <w:vAlign w:val="top"/>
          </w:tcPr>
          <w:p>
            <w:r>
              <w:rPr>
                <w:b/>
                <w:color w:val="435F84"/>
                <w:sz w:val="18"/>
              </w:rPr>
              <w:t>Strategic Escalation</w:t>
            </w:r>
          </w:p>
        </w:tc>
        <w:tc>
          <w:tcPr>
            <w:tcW w:type="dxa" w:w="4997"/>
            <w:tcMar>
              <w:top w:w="100" w:type="dxa"/>
              <w:start w:w="120" w:type="dxa"/>
              <w:bottom w:w="100" w:type="dxa"/>
              <w:end w:w="120" w:type="dxa"/>
            </w:tcMar>
            <w:vAlign w:val="top"/>
          </w:tcPr>
          <w:p>
            <w:r>
              <w:rPr>
                <w:sz w:val="18"/>
              </w:rPr>
              <w:t>A progression in which actions taken for advantage increase the scale or intensity of confrontation.</w:t>
            </w:r>
          </w:p>
        </w:tc>
      </w:tr>
    </w:tbl>
    <w:p/>
    <w:p>
      <w:pPr>
        <w:pStyle w:val="Heading1"/>
      </w:pPr>
      <w:r>
        <w:t>Sources &amp; Further Reading</w:t>
      </w:r>
    </w:p>
    <w:p>
      <w:r>
        <w:rPr>
          <w:b/>
          <w:color w:val="112B4E"/>
        </w:rPr>
        <w:t xml:space="preserve">UN Security Council — Voting System — </w:t>
      </w:r>
      <w:r>
        <w:rPr>
          <w:color w:val="435F84"/>
          <w:sz w:val="17"/>
        </w:rPr>
        <w:t>https://main.un.org/securitycouncil/en/content/voting-system</w:t>
      </w:r>
    </w:p>
    <w:p>
      <w:r>
        <w:rPr>
          <w:b/>
          <w:color w:val="112B4E"/>
        </w:rPr>
        <w:t xml:space="preserve">UN Security Council — Working Methods &amp; Charter — </w:t>
      </w:r>
      <w:r>
        <w:rPr>
          <w:color w:val="435F84"/>
          <w:sz w:val="17"/>
        </w:rPr>
        <w:t>https://main.un.org/securitycouncil/en/content/working-methods-un-charter</w:t>
      </w:r>
    </w:p>
    <w:p>
      <w:r>
        <w:rPr>
          <w:b/>
          <w:color w:val="112B4E"/>
        </w:rPr>
        <w:t xml:space="preserve">UN General Assembly — AI in the Military Domain — </w:t>
      </w:r>
      <w:r>
        <w:rPr>
          <w:color w:val="435F84"/>
          <w:sz w:val="17"/>
        </w:rPr>
        <w:t>https://digitallibrary.un.org/</w:t>
      </w:r>
    </w:p>
    <w:sectPr w:rsidR="00FC693F" w:rsidRPr="0006063C" w:rsidSect="00034616">
      <w:headerReference w:type="default" r:id="rId9"/>
      <w:footerReference w:type="default" r:id="rId10"/>
      <w:pgSz w:w="12240" w:h="15840"/>
      <w:pgMar w:top="1037" w:right="1123" w:bottom="936" w:left="1123"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96D72"/>
        <w:sz w:val="16"/>
      </w:rPr>
      <w:t xml:space="preserve">JIRSMUN 8.0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B88935"/>
        <w:sz w:val="17"/>
      </w:rPr>
      <w:t>JIRSMUN 8.0   /   BACKGROUND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color w:val="282D3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Georgia" w:hAnsi="Georgia"/>
      <w:b/>
      <w:bCs/>
      <w:color w:val="112B4E"/>
      <w:sz w:val="31"/>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Georgia" w:hAnsi="Georgia"/>
      <w:b/>
      <w:bCs/>
      <w:color w:val="435F8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Georgia" w:hAnsi="Georgia"/>
      <w:b w:val="0"/>
      <w:color w:val="112B4E"/>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