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color w:val="B88935"/>
          <w:sz w:val="18"/>
        </w:rPr>
        <w:t>FIA</w:t>
      </w:r>
    </w:p>
    <w:p>
      <w:pPr>
        <w:pStyle w:val="Title"/>
      </w:pPr>
      <w:r>
        <w:t>FIA Formula One Commission / Technical Committee</w:t>
      </w:r>
    </w:p>
    <w:p>
      <w:pPr>
        <w:spacing w:after="240"/>
      </w:pPr>
      <w:r>
        <w:rPr>
          <w:rFonts w:ascii="Aptos" w:hAnsi="Aptos"/>
          <w:i/>
          <w:color w:val="435F84"/>
          <w:sz w:val="23"/>
        </w:rPr>
        <w:t>Discussing the combustion-electric power split under the FIA’s 2026 technical regulations, and its implications for on-track competition, driver conduct, and the future of power unit development.</w:t>
      </w:r>
    </w:p>
    <w:tbl>
      <w:tblPr>
        <w:tblW w:type="auto" w:w="0"/>
        <w:jc w:val="center"/>
        <w:tblLook w:firstColumn="1" w:firstRow="1" w:lastColumn="0" w:lastRow="0" w:noHBand="0" w:noVBand="1" w:val="04A0"/>
      </w:tblPr>
      <w:tblGrid>
        <w:gridCol w:w="9994"/>
      </w:tblGrid>
      <w:tr>
        <w:tc>
          <w:tcPr>
            <w:tcW w:type="dxa" w:w="9994"/>
            <w:shd w:fill="C8A85A"/>
          </w:tcPr>
          <w:p>
            <w:r/>
          </w:p>
        </w:tc>
      </w:tr>
    </w:tbl>
    <w:p/>
    <w:p>
      <w:pPr>
        <w:pStyle w:val="Heading1"/>
      </w:pPr>
      <w:r>
        <w:t>1. The 2026 Technical Era</w:t>
      </w:r>
    </w:p>
    <w:p>
      <w:r>
        <w:t>The 2026 Formula One regulations retain the 1.6-litre V6 internal-combustion architecture while placing much greater emphasis on electrical power. The FIA identified 350 kW of electrical power, elimination of the MGU-H and the retention of the V6 as central pillars of the new power-unit framework. The current FIA regulation page lists the 2026 Technical Regulations as Issue 20, published 5 August 2026.</w:t>
      </w:r>
    </w:p>
    <w:p>
      <w:pPr>
        <w:pStyle w:val="Heading1"/>
      </w:pPr>
      <w:r>
        <w:t>2. The Combustion–Electric Split</w:t>
      </w:r>
    </w:p>
    <w:p>
      <w:r>
        <w:t>The competitive balance is no longer simply about peak engine output. The power unit must manage generation, storage and deployment of electrical energy around each lap. This makes the battery, MGU-K, software and energy strategy central competitive tools.</w:t>
      </w:r>
    </w:p>
    <w:p>
      <w:r>
        <w:t>The resulting system creates a new strategic resource: electrical energy can be conserved, harvested and deployed at different points depending on circuit characteristics and race situation.</w:t>
      </w:r>
    </w:p>
    <w:p>
      <w:pPr>
        <w:pStyle w:val="Heading1"/>
      </w:pPr>
      <w:r>
        <w:t>3. 2026 Refinements</w:t>
      </w:r>
    </w:p>
    <w:p>
      <w:r>
        <w:t>Following data from the opening events of the 2026 season, the FIA agreed refinements to energy management. Among them were a reduction in maximum permitted recharge in qualifying from 8 MJ to 7 MJ, an increase in peak superclip power to 350 kW, and race limits that maintain 350 kW MGU-K deployment in key acceleration and overtaking zones while limiting it to 250 kW elsewhere. The FIA said these changes were intended to improve consistency, reduce excessive harvesting and address closing-speed and safety concerns.</w:t>
      </w:r>
    </w:p>
    <w:p>
      <w:pPr>
        <w:pStyle w:val="Heading1"/>
      </w:pPr>
      <w:r>
        <w:t>4. Impact on Racing</w:t>
      </w:r>
    </w:p>
    <w:p>
      <w:r>
        <w:t>Electrical deployment influences acceleration, qualifying preparation, defensive driving and overtaking opportunities. A driver may have to choose between spending stored energy immediately and reserving it for a later corner, straight or attack. This increases the importance of strategy, software logic and communication between driver and pit wall.</w:t>
      </w:r>
    </w:p>
    <w:p>
      <w:pPr>
        <w:pStyle w:val="Heading1"/>
      </w:pPr>
      <w:r>
        <w:t>5. Driver Conduct and Safety</w:t>
      </w:r>
    </w:p>
    <w:p>
      <w:r>
        <w:t>The 2026 framework has consequences for driver behaviour because unusually aggressive deployment can create rapid performance differentials. FIA refinements include limits designed to reduce excessive closing speeds and a low-power-start detection system intended to mitigate abnormal acceleration at race starts. The committee can debate how far technical regulation should intervene in situations traditionally governed by sporting rules and stewarding.</w:t>
      </w:r>
    </w:p>
    <w:p>
      <w:pPr>
        <w:pStyle w:val="Heading1"/>
      </w:pPr>
      <w:r>
        <w:t>6. Manufacturers and Innovation</w:t>
      </w:r>
    </w:p>
    <w:p>
      <w:r>
        <w:t>The regulation is also an industrial policy instrument. Manufacturers must decide how to divide research effort between combustion efficiency, electrical systems, energy recovery, controls and reliability. The FIA has described the 2026 package as combining sustainability goals with a desire to retain meaningful manufacturer competition and make participation viable for newcomers.</w:t>
      </w:r>
    </w:p>
    <w:p>
      <w:pPr>
        <w:pStyle w:val="Heading1"/>
      </w:pPr>
      <w:r>
        <w:t>7. Questions for Delegates</w:t>
      </w:r>
    </w:p>
    <w:p>
      <w:pPr>
        <w:pStyle w:val="ListBullet"/>
        <w:spacing w:after="60"/>
      </w:pPr>
      <w:r>
        <w:t>Does the 2026 combustion-electric balance create the intended type of racing?</w:t>
      </w:r>
    </w:p>
    <w:p>
      <w:pPr>
        <w:pStyle w:val="ListBullet"/>
        <w:spacing w:after="60"/>
      </w:pPr>
      <w:r>
        <w:t>Should electrical power limits remain fixed, or adapt to circuit and race conditions?</w:t>
      </w:r>
    </w:p>
    <w:p>
      <w:pPr>
        <w:pStyle w:val="ListBullet"/>
        <w:spacing w:after="60"/>
      </w:pPr>
      <w:r>
        <w:t>How much competitive advantage should software-based energy management provide?</w:t>
      </w:r>
    </w:p>
    <w:p>
      <w:pPr>
        <w:pStyle w:val="ListBullet"/>
        <w:spacing w:after="60"/>
      </w:pPr>
      <w:r>
        <w:t>How should overtaking assistance interact with stored electrical energy?</w:t>
      </w:r>
    </w:p>
    <w:p>
      <w:pPr>
        <w:pStyle w:val="ListBullet"/>
        <w:spacing w:after="60"/>
      </w:pPr>
      <w:r>
        <w:t>Should driver workload from energy management influence future rules?</w:t>
      </w:r>
    </w:p>
    <w:p>
      <w:pPr>
        <w:pStyle w:val="ListBullet"/>
        <w:spacing w:after="60"/>
      </w:pPr>
      <w:r>
        <w:t>What safeguards are appropriate if a manufacturer develops a major energy-management advantage?</w:t>
      </w:r>
    </w:p>
    <w:p>
      <w:pPr>
        <w:pStyle w:val="ListBullet"/>
        <w:spacing w:after="60"/>
      </w:pPr>
      <w:r>
        <w:t>How should the FIA balance technical freedom with competitive convergence?</w:t>
      </w:r>
    </w:p>
    <w:p>
      <w:pPr>
        <w:pStyle w:val="ListBullet"/>
        <w:spacing w:after="60"/>
      </w:pPr>
      <w:r>
        <w:t>Should future regulations move further toward electric power, or preserve a larger combustion role?</w:t>
      </w:r>
    </w:p>
    <w:p>
      <w:pPr>
        <w:pStyle w:val="Heading1"/>
      </w:pPr>
      <w:r>
        <w:t>8. Possible Regulatory Directions</w:t>
      </w:r>
    </w:p>
    <w:p>
      <w:pPr>
        <w:pStyle w:val="ListBullet"/>
        <w:spacing w:after="60"/>
      </w:pPr>
      <w:r>
        <w:t>Recalibration of electrical deployment limits.</w:t>
      </w:r>
    </w:p>
    <w:p>
      <w:pPr>
        <w:pStyle w:val="ListBullet"/>
        <w:spacing w:after="60"/>
      </w:pPr>
      <w:r>
        <w:t>Circuit-specific energy parameters with transparent review criteria.</w:t>
      </w:r>
    </w:p>
    <w:p>
      <w:pPr>
        <w:pStyle w:val="ListBullet"/>
        <w:spacing w:after="60"/>
      </w:pPr>
      <w:r>
        <w:t>Standardised or regulated software interfaces for critical energy functions.</w:t>
      </w:r>
    </w:p>
    <w:p>
      <w:pPr>
        <w:pStyle w:val="ListBullet"/>
        <w:spacing w:after="60"/>
      </w:pPr>
      <w:r>
        <w:t>Stronger safety triggers for abnormal power differentials.</w:t>
      </w:r>
    </w:p>
    <w:p>
      <w:pPr>
        <w:pStyle w:val="ListBullet"/>
        <w:spacing w:after="60"/>
      </w:pPr>
      <w:r>
        <w:t>Longer-term planning for sustainable fuels and future power-unit architectures.</w:t>
      </w:r>
    </w:p>
    <w:p>
      <w:pPr>
        <w:pStyle w:val="ListBullet"/>
        <w:spacing w:after="60"/>
      </w:pPr>
      <w:r>
        <w:t>Ongoing technical review based on racing data rather than assumptions.</w:t>
      </w:r>
    </w:p>
    <w:p>
      <w:pPr>
        <w:pStyle w:val="Heading1"/>
      </w:pPr>
      <w:r>
        <w:t>Key Concepts</w:t>
      </w:r>
    </w:p>
    <w:tbl>
      <w:tblPr>
        <w:tblW w:type="auto" w:w="0"/>
        <w:jc w:val="center"/>
        <w:tblLayout w:type="autofit"/>
        <w:tblLook w:firstColumn="1" w:firstRow="1" w:lastColumn="0" w:lastRow="0" w:noHBand="0" w:noVBand="1" w:val="04A0"/>
      </w:tblPr>
      <w:tblGrid>
        <w:gridCol w:w="4997"/>
        <w:gridCol w:w="4997"/>
      </w:tblGrid>
      <w:tr>
        <w:tc>
          <w:tcPr>
            <w:tcW w:type="dxa" w:w="4997"/>
            <w:shd w:fill="E8E1D3"/>
            <w:tcMar>
              <w:top w:w="100" w:type="dxa"/>
              <w:start w:w="120" w:type="dxa"/>
              <w:bottom w:w="100" w:type="dxa"/>
              <w:end w:w="120" w:type="dxa"/>
            </w:tcMar>
          </w:tcPr>
          <w:p>
            <w:r>
              <w:rPr>
                <w:b/>
                <w:color w:val="112B4E"/>
                <w:sz w:val="17"/>
              </w:rPr>
              <w:t>TERM</w:t>
            </w:r>
          </w:p>
        </w:tc>
        <w:tc>
          <w:tcPr>
            <w:tcW w:type="dxa" w:w="4997"/>
            <w:shd w:fill="E8E1D3"/>
            <w:tcMar>
              <w:top w:w="100" w:type="dxa"/>
              <w:start w:w="120" w:type="dxa"/>
              <w:bottom w:w="100" w:type="dxa"/>
              <w:end w:w="120" w:type="dxa"/>
            </w:tcMar>
          </w:tcPr>
          <w:p>
            <w:r>
              <w:rPr>
                <w:b/>
                <w:color w:val="112B4E"/>
                <w:sz w:val="17"/>
              </w:rPr>
              <w:t>WORKING DEFINITION</w:t>
            </w:r>
          </w:p>
        </w:tc>
      </w:tr>
      <w:tr>
        <w:tc>
          <w:tcPr>
            <w:tcW w:type="dxa" w:w="4997"/>
            <w:tcMar>
              <w:top w:w="100" w:type="dxa"/>
              <w:start w:w="120" w:type="dxa"/>
              <w:bottom w:w="100" w:type="dxa"/>
              <w:end w:w="120" w:type="dxa"/>
            </w:tcMar>
            <w:vAlign w:val="top"/>
          </w:tcPr>
          <w:p>
            <w:r>
              <w:rPr>
                <w:b/>
                <w:color w:val="435F84"/>
                <w:sz w:val="18"/>
              </w:rPr>
              <w:t>ICE</w:t>
            </w:r>
          </w:p>
        </w:tc>
        <w:tc>
          <w:tcPr>
            <w:tcW w:type="dxa" w:w="4997"/>
            <w:tcMar>
              <w:top w:w="100" w:type="dxa"/>
              <w:start w:w="120" w:type="dxa"/>
              <w:bottom w:w="100" w:type="dxa"/>
              <w:end w:w="120" w:type="dxa"/>
            </w:tcMar>
            <w:vAlign w:val="top"/>
          </w:tcPr>
          <w:p>
            <w:r>
              <w:rPr>
                <w:sz w:val="18"/>
              </w:rPr>
              <w:t>Internal-combustion engine component of the power unit.</w:t>
            </w:r>
          </w:p>
        </w:tc>
      </w:tr>
      <w:tr>
        <w:tc>
          <w:tcPr>
            <w:tcW w:type="dxa" w:w="4997"/>
            <w:tcMar>
              <w:top w:w="100" w:type="dxa"/>
              <w:start w:w="120" w:type="dxa"/>
              <w:bottom w:w="100" w:type="dxa"/>
              <w:end w:w="120" w:type="dxa"/>
            </w:tcMar>
            <w:vAlign w:val="top"/>
          </w:tcPr>
          <w:p>
            <w:r>
              <w:rPr>
                <w:b/>
                <w:color w:val="435F84"/>
                <w:sz w:val="18"/>
              </w:rPr>
              <w:t>MGU-K</w:t>
            </w:r>
          </w:p>
        </w:tc>
        <w:tc>
          <w:tcPr>
            <w:tcW w:type="dxa" w:w="4997"/>
            <w:tcMar>
              <w:top w:w="100" w:type="dxa"/>
              <w:start w:w="120" w:type="dxa"/>
              <w:bottom w:w="100" w:type="dxa"/>
              <w:end w:w="120" w:type="dxa"/>
            </w:tcMar>
            <w:vAlign w:val="top"/>
          </w:tcPr>
          <w:p>
            <w:r>
              <w:rPr>
                <w:sz w:val="18"/>
              </w:rPr>
              <w:t>Motor Generator Unit – Kinetic, which recovers and deploys electrical energy associated with the power unit.</w:t>
            </w:r>
          </w:p>
        </w:tc>
      </w:tr>
      <w:tr>
        <w:tc>
          <w:tcPr>
            <w:tcW w:type="dxa" w:w="4997"/>
            <w:tcMar>
              <w:top w:w="100" w:type="dxa"/>
              <w:start w:w="120" w:type="dxa"/>
              <w:bottom w:w="100" w:type="dxa"/>
              <w:end w:w="120" w:type="dxa"/>
            </w:tcMar>
            <w:vAlign w:val="top"/>
          </w:tcPr>
          <w:p>
            <w:r>
              <w:rPr>
                <w:b/>
                <w:color w:val="435F84"/>
                <w:sz w:val="18"/>
              </w:rPr>
              <w:t>Energy Harvesting</w:t>
            </w:r>
          </w:p>
        </w:tc>
        <w:tc>
          <w:tcPr>
            <w:tcW w:type="dxa" w:w="4997"/>
            <w:tcMar>
              <w:top w:w="100" w:type="dxa"/>
              <w:start w:w="120" w:type="dxa"/>
              <w:bottom w:w="100" w:type="dxa"/>
              <w:end w:w="120" w:type="dxa"/>
            </w:tcMar>
            <w:vAlign w:val="top"/>
          </w:tcPr>
          <w:p>
            <w:r>
              <w:rPr>
                <w:sz w:val="18"/>
              </w:rPr>
              <w:t>Recovering energy, particularly under braking, for storage or later use.</w:t>
            </w:r>
          </w:p>
        </w:tc>
      </w:tr>
      <w:tr>
        <w:tc>
          <w:tcPr>
            <w:tcW w:type="dxa" w:w="4997"/>
            <w:tcMar>
              <w:top w:w="100" w:type="dxa"/>
              <w:start w:w="120" w:type="dxa"/>
              <w:bottom w:w="100" w:type="dxa"/>
              <w:end w:w="120" w:type="dxa"/>
            </w:tcMar>
            <w:vAlign w:val="top"/>
          </w:tcPr>
          <w:p>
            <w:r>
              <w:rPr>
                <w:b/>
                <w:color w:val="435F84"/>
                <w:sz w:val="18"/>
              </w:rPr>
              <w:t>Energy Deployment</w:t>
            </w:r>
          </w:p>
        </w:tc>
        <w:tc>
          <w:tcPr>
            <w:tcW w:type="dxa" w:w="4997"/>
            <w:tcMar>
              <w:top w:w="100" w:type="dxa"/>
              <w:start w:w="120" w:type="dxa"/>
              <w:bottom w:w="100" w:type="dxa"/>
              <w:end w:w="120" w:type="dxa"/>
            </w:tcMar>
            <w:vAlign w:val="top"/>
          </w:tcPr>
          <w:p>
            <w:r>
              <w:rPr>
                <w:sz w:val="18"/>
              </w:rPr>
              <w:t>Using stored electrical energy to supplement propulsion.</w:t>
            </w:r>
          </w:p>
        </w:tc>
      </w:tr>
      <w:tr>
        <w:tc>
          <w:tcPr>
            <w:tcW w:type="dxa" w:w="4997"/>
            <w:tcMar>
              <w:top w:w="100" w:type="dxa"/>
              <w:start w:w="120" w:type="dxa"/>
              <w:bottom w:w="100" w:type="dxa"/>
              <w:end w:w="120" w:type="dxa"/>
            </w:tcMar>
            <w:vAlign w:val="top"/>
          </w:tcPr>
          <w:p>
            <w:r>
              <w:rPr>
                <w:b/>
                <w:color w:val="435F84"/>
                <w:sz w:val="18"/>
              </w:rPr>
              <w:t>Superclip</w:t>
            </w:r>
          </w:p>
        </w:tc>
        <w:tc>
          <w:tcPr>
            <w:tcW w:type="dxa" w:w="4997"/>
            <w:tcMar>
              <w:top w:w="100" w:type="dxa"/>
              <w:start w:w="120" w:type="dxa"/>
              <w:bottom w:w="100" w:type="dxa"/>
              <w:end w:w="120" w:type="dxa"/>
            </w:tcMar>
            <w:vAlign w:val="top"/>
          </w:tcPr>
          <w:p>
            <w:r>
              <w:rPr>
                <w:sz w:val="18"/>
              </w:rPr>
              <w:t>A short, high-power electrical deployment/recharge strategy used within the regulatory energy-management framework.</w:t>
            </w:r>
          </w:p>
        </w:tc>
      </w:tr>
      <w:tr>
        <w:tc>
          <w:tcPr>
            <w:tcW w:type="dxa" w:w="4997"/>
            <w:tcMar>
              <w:top w:w="100" w:type="dxa"/>
              <w:start w:w="120" w:type="dxa"/>
              <w:bottom w:w="100" w:type="dxa"/>
              <w:end w:w="120" w:type="dxa"/>
            </w:tcMar>
            <w:vAlign w:val="top"/>
          </w:tcPr>
          <w:p>
            <w:r>
              <w:rPr>
                <w:b/>
                <w:color w:val="435F84"/>
                <w:sz w:val="18"/>
              </w:rPr>
              <w:t>Overtake Mode</w:t>
            </w:r>
          </w:p>
        </w:tc>
        <w:tc>
          <w:tcPr>
            <w:tcW w:type="dxa" w:w="4997"/>
            <w:tcMar>
              <w:top w:w="100" w:type="dxa"/>
              <w:start w:w="120" w:type="dxa"/>
              <w:bottom w:w="100" w:type="dxa"/>
              <w:end w:w="120" w:type="dxa"/>
            </w:tcMar>
            <w:vAlign w:val="top"/>
          </w:tcPr>
          <w:p>
            <w:r>
              <w:rPr>
                <w:sz w:val="18"/>
              </w:rPr>
              <w:t>A regulated electrical deployment capability intended to assist overtaking in specified circumstances.</w:t>
            </w:r>
          </w:p>
        </w:tc>
      </w:tr>
    </w:tbl>
    <w:p/>
    <w:p>
      <w:pPr>
        <w:pStyle w:val="Heading1"/>
      </w:pPr>
      <w:r>
        <w:t>Sources &amp; Further Reading</w:t>
      </w:r>
    </w:p>
    <w:p>
      <w:r>
        <w:rPr>
          <w:b/>
          <w:color w:val="112B4E"/>
        </w:rPr>
        <w:t xml:space="preserve">FIA — 2026 Regulations — </w:t>
      </w:r>
      <w:r>
        <w:rPr>
          <w:color w:val="435F84"/>
          <w:sz w:val="17"/>
        </w:rPr>
        <w:t>https://www.fia.com/regulation/category/2182</w:t>
      </w:r>
    </w:p>
    <w:p>
      <w:r>
        <w:rPr>
          <w:b/>
          <w:color w:val="112B4E"/>
        </w:rPr>
        <w:t xml:space="preserve">FIA — 2026 Regulation Refinements — </w:t>
      </w:r>
      <w:r>
        <w:rPr>
          <w:color w:val="435F84"/>
          <w:sz w:val="17"/>
        </w:rPr>
        <w:t>https://www.fia.com/news/refinements-2026-fia-formula-1-regulations-agreed-all-stakeholders</w:t>
      </w:r>
    </w:p>
    <w:p>
      <w:r>
        <w:rPr>
          <w:b/>
          <w:color w:val="112B4E"/>
        </w:rPr>
        <w:t xml:space="preserve">FIA — 2026 Power Unit Framework — </w:t>
      </w:r>
      <w:r>
        <w:rPr>
          <w:color w:val="435F84"/>
          <w:sz w:val="17"/>
        </w:rPr>
        <w:t>https://www.fia.com/news/fia-announces-world-motor-sport-council-decisions-24</w:t>
      </w:r>
    </w:p>
    <w:sectPr w:rsidR="00FC693F" w:rsidRPr="0006063C" w:rsidSect="00034616">
      <w:headerReference w:type="default" r:id="rId9"/>
      <w:footerReference w:type="default" r:id="rId10"/>
      <w:pgSz w:w="12240" w:h="15840"/>
      <w:pgMar w:top="1037" w:right="1123" w:bottom="936"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96D72"/>
        <w:sz w:val="16"/>
      </w:rPr>
      <w:t xml:space="preserve">JIRSMUN 8.0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B88935"/>
        <w:sz w:val="17"/>
      </w:rPr>
      <w:t>JIRSMUN 8.0   /   BACKGROUND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282D3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Georgia" w:hAnsi="Georgia"/>
      <w:b/>
      <w:bCs/>
      <w:color w:val="112B4E"/>
      <w:sz w:val="31"/>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Georgia" w:hAnsi="Georgia"/>
      <w:b/>
      <w:bCs/>
      <w:color w:val="435F8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Georgia" w:hAnsi="Georgia"/>
      <w:b w:val="0"/>
      <w:color w:val="112B4E"/>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