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color w:val="B88935"/>
          <w:sz w:val="18"/>
        </w:rPr>
        <w:t>FIFA</w:t>
      </w:r>
    </w:p>
    <w:p>
      <w:pPr>
        <w:pStyle w:val="Title"/>
      </w:pPr>
      <w:r>
        <w:t>FIFA Host Selection Committee</w:t>
      </w:r>
    </w:p>
    <w:p>
      <w:pPr>
        <w:spacing w:after="240"/>
      </w:pPr>
      <w:r>
        <w:rPr>
          <w:rFonts w:ascii="Aptos" w:hAnsi="Aptos"/>
          <w:i/>
          <w:color w:val="435F84"/>
          <w:sz w:val="23"/>
        </w:rPr>
        <w:t>Reviewing FIFA's Host Selection Process: Balancing Human Rights, Commercial Interests, and Global Development.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C8A85A"/>
          </w:tcPr>
          <w:p>
            <w:r/>
          </w:p>
        </w:tc>
      </w:tr>
    </w:tbl>
    <w:p/>
    <w:p>
      <w:pPr>
        <w:pStyle w:val="Heading1"/>
      </w:pPr>
      <w:r>
        <w:t>1. The Host Selection Question</w:t>
      </w:r>
    </w:p>
    <w:p>
      <w:r>
        <w:t>Choosing a FIFA World Cup host is both a sporting and governance decision. Hosting can create infrastructure, tourism, jobs, international visibility and long-term development opportunities, but it can also involve very large public expenditures, labour-rights questions, environmental impacts and human-rights risks.</w:t>
      </w:r>
    </w:p>
    <w:p>
      <w:pPr>
        <w:pStyle w:val="Heading1"/>
      </w:pPr>
      <w:r>
        <w:t>2. Reform of the Bidding Process</w:t>
      </w:r>
    </w:p>
    <w:p>
      <w:r>
        <w:t>FIFA’s 2026 bidding framework emphasised transparency, documented requirements, technical evaluation, risk assessment and human-rights commitments. FIFA also published bid books and evaluation material as part of the process. The framework illustrates a broader shift from an opaque selection model toward a more structured and documented process.</w:t>
      </w:r>
    </w:p>
    <w:p>
      <w:pPr>
        <w:pStyle w:val="Heading1"/>
      </w:pPr>
      <w:r>
        <w:t>3. Human Rights Due Diligence</w:t>
      </w:r>
    </w:p>
    <w:p>
      <w:r>
        <w:t>For the 2026 bidding process, FIFA required candidate countries and host cities to commit to relevant human-rights obligations and prepare human-rights strategies. These requirements included risk identification, mitigation mechanisms and access-to-remedy concepts. Delegates can examine whether such standards should be strengthened, standardised or externally audited.</w:t>
      </w:r>
    </w:p>
    <w:p>
      <w:pPr>
        <w:pStyle w:val="Heading1"/>
      </w:pPr>
      <w:r>
        <w:t>4. Commercial Interests</w:t>
      </w:r>
    </w:p>
    <w:p>
      <w:r>
        <w:t>The FIFA World Cup is a major commercial property. Broadcast rights, sponsorship, hospitality, ticketing and global media exposure all influence the economic case for hosting. A selection system that ignores commercial sustainability could weaken tournament delivery; a system that overweights commercial returns could undervalue human-rights or development concerns.</w:t>
      </w:r>
    </w:p>
    <w:p>
      <w:pPr>
        <w:pStyle w:val="Heading1"/>
      </w:pPr>
      <w:r>
        <w:t>5. Global Development</w:t>
      </w:r>
    </w:p>
    <w:p>
      <w:r>
        <w:t>Hosting can accelerate investment in transport, stadiums, public spaces, digital infrastructure and tourism. Yet large projects can also create debt, displacement or underused infrastructure if long-term planning is weak. Delegates should therefore examine legacy rather than judging a bid only on its ability to stage the tournament itself.</w:t>
      </w:r>
    </w:p>
    <w:p>
      <w:pPr>
        <w:pStyle w:val="Heading1"/>
      </w:pPr>
      <w:r>
        <w:t>6. Questions for Delegates</w:t>
      </w:r>
    </w:p>
    <w:p>
      <w:pPr>
        <w:pStyle w:val="ListBullet"/>
        <w:spacing w:after="60"/>
      </w:pPr>
      <w:r>
        <w:t>How much weight should human-rights risk carry in the host-selection process?</w:t>
      </w:r>
    </w:p>
    <w:p>
      <w:pPr>
        <w:pStyle w:val="ListBullet"/>
        <w:spacing w:after="60"/>
      </w:pPr>
      <w:r>
        <w:t>Should independent human-rights assessments be mandatory before a bid can proceed?</w:t>
      </w:r>
    </w:p>
    <w:p>
      <w:pPr>
        <w:pStyle w:val="ListBullet"/>
        <w:spacing w:after="60"/>
      </w:pPr>
      <w:r>
        <w:t>How should FIFA compare commercial viability with long-term development outcomes?</w:t>
      </w:r>
    </w:p>
    <w:p>
      <w:pPr>
        <w:pStyle w:val="ListBullet"/>
        <w:spacing w:after="60"/>
      </w:pPr>
      <w:r>
        <w:t>What financial guarantees should be required from governments and host cities?</w:t>
      </w:r>
    </w:p>
    <w:p>
      <w:pPr>
        <w:pStyle w:val="ListBullet"/>
        <w:spacing w:after="60"/>
      </w:pPr>
      <w:r>
        <w:t>Should bidders be evaluated on post-tournament legacy rather than only tournament readiness?</w:t>
      </w:r>
    </w:p>
    <w:p>
      <w:pPr>
        <w:pStyle w:val="ListBullet"/>
        <w:spacing w:after="60"/>
      </w:pPr>
      <w:r>
        <w:t>How can FIFA increase transparency without making the bidding process unworkably complex?</w:t>
      </w:r>
    </w:p>
    <w:p>
      <w:pPr>
        <w:pStyle w:val="ListBullet"/>
        <w:spacing w:after="60"/>
      </w:pPr>
      <w:r>
        <w:t>What should happen when a successful bidder later fails a major human-rights or governance commitment?</w:t>
      </w:r>
    </w:p>
    <w:p>
      <w:pPr>
        <w:pStyle w:val="Heading1"/>
      </w:pPr>
      <w:r>
        <w:t>7. Possible Reform Options</w:t>
      </w:r>
    </w:p>
    <w:p>
      <w:pPr>
        <w:pStyle w:val="ListBullet"/>
        <w:spacing w:after="60"/>
      </w:pPr>
      <w:r>
        <w:t>Independent human-rights audit</w:t>
      </w:r>
    </w:p>
    <w:p>
      <w:pPr>
        <w:pStyle w:val="ListBullet"/>
        <w:spacing w:after="60"/>
      </w:pPr>
      <w:r>
        <w:t>Public scoring methodology</w:t>
      </w:r>
    </w:p>
    <w:p>
      <w:pPr>
        <w:pStyle w:val="ListBullet"/>
        <w:spacing w:after="60"/>
      </w:pPr>
      <w:r>
        <w:t>Clear conflict-of-interest rules</w:t>
      </w:r>
    </w:p>
    <w:p>
      <w:pPr>
        <w:pStyle w:val="ListBullet"/>
        <w:spacing w:after="60"/>
      </w:pPr>
      <w:r>
        <w:t>Post-award compliance reviews</w:t>
      </w:r>
    </w:p>
    <w:p>
      <w:pPr>
        <w:pStyle w:val="ListBullet"/>
        <w:spacing w:after="60"/>
      </w:pPr>
      <w:r>
        <w:t>Legacy-performance reporting</w:t>
      </w:r>
    </w:p>
    <w:p>
      <w:pPr>
        <w:pStyle w:val="ListBullet"/>
        <w:spacing w:after="60"/>
      </w:pPr>
      <w:r>
        <w:t>Stakeholder consultation requirements</w:t>
      </w:r>
    </w:p>
    <w:p>
      <w:pPr>
        <w:pStyle w:val="ListBullet"/>
        <w:spacing w:after="60"/>
      </w:pPr>
      <w:r>
        <w:t>Published evaluation documentation</w:t>
      </w:r>
    </w:p>
    <w:p>
      <w:pPr>
        <w:pStyle w:val="Heading1"/>
      </w:pPr>
      <w:r>
        <w:t>Key Concepts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E8E1D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12B4E"/>
                <w:sz w:val="17"/>
              </w:rPr>
              <w:t>TERM</w:t>
            </w:r>
          </w:p>
        </w:tc>
        <w:tc>
          <w:tcPr>
            <w:tcW w:type="dxa" w:w="4997"/>
            <w:shd w:fill="E8E1D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12B4E"/>
                <w:sz w:val="17"/>
              </w:rPr>
              <w:t>WORKING DEFINITION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Bid Book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The formal submission through which a candidate host presents its proposed tournament plan.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Technical Evaluation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Assessment of a bid against specified infrastructure, revenue, operational and other criteria.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Risk Assessment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Structured evaluation of factors that could threaten delivery, finances, governance or rights protections.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Human-Rights Due Diligence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A process for identifying, preventing, mitigating and addressing human-rights risks.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Legacy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The long-term economic, social, infrastructural and sporting effects of hosting a tournament.</w:t>
            </w:r>
          </w:p>
        </w:tc>
      </w:tr>
    </w:tbl>
    <w:p/>
    <w:p>
      <w:pPr>
        <w:pStyle w:val="Heading1"/>
      </w:pPr>
      <w:r>
        <w:t>Sources &amp; Further Reading</w:t>
      </w:r>
    </w:p>
    <w:p>
      <w:r>
        <w:rPr>
          <w:b/>
          <w:color w:val="112B4E"/>
        </w:rPr>
        <w:t xml:space="preserve">FIFA — Guide to the 2026 Bidding Process — </w:t>
      </w:r>
      <w:r>
        <w:rPr>
          <w:color w:val="435F84"/>
          <w:sz w:val="17"/>
        </w:rPr>
        <w:t>https://inside.fifa.com/tournaments/mens/worldcup/canadamexicousa2026/news/fifa-publishes-guide-to-bidding-process-for-the-2026-fifa-world-cuptm-2916170</w:t>
      </w:r>
    </w:p>
    <w:p>
      <w:r>
        <w:rPr>
          <w:b/>
          <w:color w:val="112B4E"/>
        </w:rPr>
        <w:t xml:space="preserve">FIFA — 2026 Bidding Guide (PDF) — </w:t>
      </w:r>
      <w:r>
        <w:rPr>
          <w:color w:val="435F84"/>
          <w:sz w:val="17"/>
        </w:rPr>
        <w:t>https://img.fifa.com/image/upload/hgopypqftviladnm7q90.pdf</w:t>
      </w:r>
    </w:p>
    <w:p>
      <w:r>
        <w:rPr>
          <w:b/>
          <w:color w:val="112B4E"/>
        </w:rPr>
        <w:t xml:space="preserve">FIFA — Human Rights and the 2026 Host Cities — </w:t>
      </w:r>
      <w:r>
        <w:rPr>
          <w:color w:val="435F84"/>
          <w:sz w:val="17"/>
        </w:rPr>
        <w:t>https://inside.fifa.com/human-rights/news/human-rights-key-focus-for-fifa-world-cup-2026-tm</w:t>
      </w:r>
    </w:p>
    <w:p>
      <w:r>
        <w:rPr>
          <w:b/>
          <w:color w:val="112B4E"/>
        </w:rPr>
        <w:t xml:space="preserve">FIFA — 2030 &amp; 2034 Hosting Process — </w:t>
      </w:r>
      <w:r>
        <w:rPr>
          <w:color w:val="435F84"/>
          <w:sz w:val="17"/>
        </w:rPr>
        <w:t>https://inside.fifa.com/organisation/media-releases/fifa-receives-declarations-of-interest-in-hosting-fifa-world-cup-tm-editions-in-2030-and-2034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36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D72"/>
        <w:sz w:val="16"/>
      </w:rPr>
      <w:t xml:space="preserve">JIRSMUN 8.0   • 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88935"/>
        <w:sz w:val="17"/>
      </w:rPr>
      <w:t>JIRSMUN 8.0   /   BACKGROUND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282D3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12B4E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435F8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12B4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