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color w:val="B88935"/>
          <w:sz w:val="18"/>
        </w:rPr>
        <w:t>DISEC</w:t>
      </w:r>
    </w:p>
    <w:p>
      <w:pPr>
        <w:pStyle w:val="Title"/>
      </w:pPr>
      <w:r>
        <w:t>Disarmament and International Security Committee</w:t>
      </w:r>
    </w:p>
    <w:p>
      <w:pPr>
        <w:spacing w:after="240"/>
      </w:pPr>
      <w:r>
        <w:rPr>
          <w:rFonts w:ascii="Aptos" w:hAnsi="Aptos"/>
          <w:i/>
          <w:color w:val="435F84"/>
          <w:sz w:val="23"/>
        </w:rPr>
        <w:t>Deliberating upon the strategic assassination of global birth rates through covert biological, economic, and psychological destabilization operations.</w:t>
      </w:r>
    </w:p>
    <w:tbl>
      <w:tblPr>
        <w:tblW w:type="auto" w:w="0"/>
        <w:jc w:val="center"/>
        <w:tblLook w:firstColumn="1" w:firstRow="1" w:lastColumn="0" w:lastRow="0" w:noHBand="0" w:noVBand="1" w:val="04A0"/>
      </w:tblPr>
      <w:tblGrid>
        <w:gridCol w:w="9994"/>
      </w:tblGrid>
      <w:tr>
        <w:tc>
          <w:tcPr>
            <w:tcW w:type="dxa" w:w="9994"/>
            <w:shd w:fill="C8A85A"/>
          </w:tcPr>
          <w:p>
            <w:r/>
          </w:p>
        </w:tc>
      </w:tr>
    </w:tbl>
    <w:p/>
    <w:tbl>
      <w:tblPr>
        <w:tblW w:type="auto" w:w="0"/>
        <w:jc w:val="center"/>
        <w:tblLook w:firstColumn="1" w:firstRow="1" w:lastColumn="0" w:lastRow="0" w:noHBand="0" w:noVBand="1" w:val="04A0"/>
      </w:tblPr>
      <w:tblGrid>
        <w:gridCol w:w="9994"/>
      </w:tblGrid>
      <w:tr>
        <w:tc>
          <w:tcPr>
            <w:tcW w:type="dxa" w:w="9994"/>
            <w:shd w:fill="F1EEE7"/>
            <w:tcMar>
              <w:top w:w="140" w:type="dxa"/>
              <w:start w:w="180" w:type="dxa"/>
              <w:bottom w:w="140" w:type="dxa"/>
              <w:end w:w="180" w:type="dxa"/>
            </w:tcMar>
          </w:tcPr>
          <w:p>
            <w:r>
              <w:rPr>
                <w:rFonts w:ascii="Aptos" w:hAnsi="Aptos"/>
                <w:b/>
                <w:color w:val="B88935"/>
                <w:sz w:val="17"/>
              </w:rPr>
              <w:t>COMMITTEE NOTE</w:t>
            </w:r>
          </w:p>
          <w:p>
            <w:pPr>
              <w:spacing w:after="0"/>
            </w:pPr>
            <w:r>
              <w:rPr>
                <w:rFonts w:ascii="Aptos" w:hAnsi="Aptos"/>
                <w:color w:val="282D32"/>
                <w:sz w:val="19"/>
              </w:rPr>
              <w:t>This is a fictional security scenario. It does not claim that current global fertility decline is caused by covert biological, economic or psychological operations.</w:t>
            </w:r>
          </w:p>
        </w:tc>
      </w:tr>
    </w:tbl>
    <w:p>
      <w:pPr>
        <w:spacing w:after="20"/>
      </w:pPr>
    </w:p>
    <w:p>
      <w:pPr>
        <w:pStyle w:val="Heading1"/>
      </w:pPr>
      <w:r>
        <w:t>1. Committee Mandate</w:t>
      </w:r>
    </w:p>
    <w:p>
      <w:r>
        <w:t>The First Committee of the UN General Assembly considers questions of disarmament, international security and threats that affect the stability of states and populations. This agenda takes a demographic phenomenon and asks whether it can become an arena of strategic competition.</w:t>
      </w:r>
    </w:p>
    <w:p>
      <w:pPr>
        <w:pStyle w:val="Heading1"/>
      </w:pPr>
      <w:r>
        <w:t>2. The Demographic Baseline</w:t>
      </w:r>
    </w:p>
    <w:p>
      <w:r>
        <w:t>The United Nations estimates that global fertility stood at about 2.2 births per woman in 2024, down from 2.9 in 1994. More than half of countries and areas were below 2.1 births per woman. These trends have many established explanations, including urbanisation, education, changing family formation, economic conditions, access to contraception and changing preferences.</w:t>
      </w:r>
    </w:p>
    <w:p>
      <w:r>
        <w:t>Delegates must therefore distinguish between ordinary demographic transition and the much stronger allegation that hostile actors are intentionally amplifying fertility decline.</w:t>
      </w:r>
    </w:p>
    <w:p>
      <w:pPr>
        <w:pStyle w:val="Heading1"/>
      </w:pPr>
      <w:r>
        <w:t>3. The Hypothetical Operation</w:t>
      </w:r>
    </w:p>
    <w:p>
      <w:r>
        <w:t>In the crisis scenario, states begin reporting patterns suggesting coordinated interference in public-health systems, economic security, information environments and social trust. The committee is not asked to assume that these patterns prove a single conspiracy. Instead, it must determine what forms of evidence, verification and international cooperation would be appropriate before assigning responsibility.</w:t>
      </w:r>
    </w:p>
    <w:p>
      <w:pPr>
        <w:pStyle w:val="Heading1"/>
      </w:pPr>
      <w:r>
        <w:t>4. Biological Security</w:t>
      </w:r>
    </w:p>
    <w:p>
      <w:r>
        <w:t>The Biological Weapons Convention provides the central international framework against the development, production and stockpiling of biological and toxin weapons. Any credible allegation involving deliberate population-level biological harm would therefore create questions of prevention, verification, attribution, public-health protection and international cooperation. The committee should remain focused on policy, safeguards and accountability rather than operational methods.</w:t>
      </w:r>
    </w:p>
    <w:p>
      <w:pPr>
        <w:pStyle w:val="Heading1"/>
      </w:pPr>
      <w:r>
        <w:t>5. Economic and Psychological Destabilisation</w:t>
      </w:r>
    </w:p>
    <w:p>
      <w:r>
        <w:t>Economic pressure can influence family formation indirectly by changing employment, housing, household security and expectations about the future. Psychological operations can influence perceptions, social trust and political behaviour. The policy problem is to identify when such activity crosses from ordinary statecraft or public debate into coordinated hostile interference.</w:t>
      </w:r>
    </w:p>
    <w:p>
      <w:pPr>
        <w:pStyle w:val="Heading1"/>
      </w:pPr>
      <w:r>
        <w:t>6. Questions for Delegates</w:t>
      </w:r>
    </w:p>
    <w:p>
      <w:pPr>
        <w:pStyle w:val="ListBullet"/>
        <w:spacing w:after="60"/>
      </w:pPr>
      <w:r>
        <w:t>What evidence should be required before a state is accused of demographic warfare or deliberate population destabilisation?</w:t>
      </w:r>
    </w:p>
    <w:p>
      <w:pPr>
        <w:pStyle w:val="ListBullet"/>
        <w:spacing w:after="60"/>
      </w:pPr>
      <w:r>
        <w:t>How can investigators distinguish coordinated interference from structural demographic change?</w:t>
      </w:r>
    </w:p>
    <w:p>
      <w:pPr>
        <w:pStyle w:val="ListBullet"/>
        <w:spacing w:after="60"/>
      </w:pPr>
      <w:r>
        <w:t>What existing international instruments can address hostile biological activity?</w:t>
      </w:r>
    </w:p>
    <w:p>
      <w:pPr>
        <w:pStyle w:val="ListBullet"/>
        <w:spacing w:after="60"/>
      </w:pPr>
      <w:r>
        <w:t>Should demographic destabilisation be recognised as a distinct security category?</w:t>
      </w:r>
    </w:p>
    <w:p>
      <w:pPr>
        <w:pStyle w:val="ListBullet"/>
        <w:spacing w:after="60"/>
      </w:pPr>
      <w:r>
        <w:t>How can public-health systems be protected without restricting legitimate civilian research and healthcare?</w:t>
      </w:r>
    </w:p>
    <w:p>
      <w:pPr>
        <w:pStyle w:val="ListBullet"/>
        <w:spacing w:after="60"/>
      </w:pPr>
      <w:r>
        <w:t>What role should WHO, UN disarmament bodies and regional organisations play?</w:t>
      </w:r>
    </w:p>
    <w:p>
      <w:pPr>
        <w:pStyle w:val="ListBullet"/>
        <w:spacing w:after="60"/>
      </w:pPr>
      <w:r>
        <w:t>How should attribution work when operations are routed through non-state or private actors?</w:t>
      </w:r>
    </w:p>
    <w:p>
      <w:pPr>
        <w:pStyle w:val="ListBullet"/>
        <w:spacing w:after="60"/>
      </w:pPr>
      <w:r>
        <w:t>How can international safeguards protect individual reproductive autonomy while responding to genuine foreign interference?</w:t>
      </w:r>
    </w:p>
    <w:p>
      <w:pPr>
        <w:pStyle w:val="Heading1"/>
      </w:pPr>
      <w:r>
        <w:t>7. Possible Policy Directions</w:t>
      </w:r>
    </w:p>
    <w:p>
      <w:pPr>
        <w:pStyle w:val="ListBullet"/>
        <w:spacing w:after="60"/>
      </w:pPr>
      <w:r>
        <w:t>Independent monitoring and fact-finding mechanisms.</w:t>
      </w:r>
    </w:p>
    <w:p>
      <w:pPr>
        <w:pStyle w:val="ListBullet"/>
        <w:spacing w:after="60"/>
      </w:pPr>
      <w:r>
        <w:t>Public-health resilience and international information-sharing.</w:t>
      </w:r>
    </w:p>
    <w:p>
      <w:pPr>
        <w:pStyle w:val="ListBullet"/>
        <w:spacing w:after="60"/>
      </w:pPr>
      <w:r>
        <w:t>Cross-border safeguards against deliberate interference with civilian systems.</w:t>
      </w:r>
    </w:p>
    <w:p>
      <w:pPr>
        <w:pStyle w:val="ListBullet"/>
        <w:spacing w:after="60"/>
      </w:pPr>
      <w:r>
        <w:t>Norms against using demographic policy as a coercive instrument.</w:t>
      </w:r>
    </w:p>
    <w:p>
      <w:pPr>
        <w:pStyle w:val="ListBullet"/>
        <w:spacing w:after="60"/>
      </w:pPr>
      <w:r>
        <w:t>Attribution and evidence standards for sanctions or other collective responses.</w:t>
      </w:r>
    </w:p>
    <w:p>
      <w:pPr>
        <w:pStyle w:val="ListBullet"/>
        <w:spacing w:after="60"/>
      </w:pPr>
      <w:r>
        <w:t>Regular review of emerging biological-security risks.</w:t>
      </w:r>
    </w:p>
    <w:p>
      <w:pPr>
        <w:pStyle w:val="Heading1"/>
      </w:pPr>
      <w:r>
        <w:t>Key Concepts</w:t>
      </w:r>
    </w:p>
    <w:tbl>
      <w:tblPr>
        <w:tblW w:type="auto" w:w="0"/>
        <w:jc w:val="center"/>
        <w:tblLayout w:type="autofit"/>
        <w:tblLook w:firstColumn="1" w:firstRow="1" w:lastColumn="0" w:lastRow="0" w:noHBand="0" w:noVBand="1" w:val="04A0"/>
      </w:tblPr>
      <w:tblGrid>
        <w:gridCol w:w="4997"/>
        <w:gridCol w:w="4997"/>
      </w:tblGrid>
      <w:tr>
        <w:tc>
          <w:tcPr>
            <w:tcW w:type="dxa" w:w="4997"/>
            <w:shd w:fill="E8E1D3"/>
            <w:tcMar>
              <w:top w:w="100" w:type="dxa"/>
              <w:start w:w="120" w:type="dxa"/>
              <w:bottom w:w="100" w:type="dxa"/>
              <w:end w:w="120" w:type="dxa"/>
            </w:tcMar>
          </w:tcPr>
          <w:p>
            <w:r>
              <w:rPr>
                <w:b/>
                <w:color w:val="112B4E"/>
                <w:sz w:val="17"/>
              </w:rPr>
              <w:t>TERM</w:t>
            </w:r>
          </w:p>
        </w:tc>
        <w:tc>
          <w:tcPr>
            <w:tcW w:type="dxa" w:w="4997"/>
            <w:shd w:fill="E8E1D3"/>
            <w:tcMar>
              <w:top w:w="100" w:type="dxa"/>
              <w:start w:w="120" w:type="dxa"/>
              <w:bottom w:w="100" w:type="dxa"/>
              <w:end w:w="120" w:type="dxa"/>
            </w:tcMar>
          </w:tcPr>
          <w:p>
            <w:r>
              <w:rPr>
                <w:b/>
                <w:color w:val="112B4E"/>
                <w:sz w:val="17"/>
              </w:rPr>
              <w:t>WORKING DEFINITION</w:t>
            </w:r>
          </w:p>
        </w:tc>
      </w:tr>
      <w:tr>
        <w:tc>
          <w:tcPr>
            <w:tcW w:type="dxa" w:w="4997"/>
            <w:tcMar>
              <w:top w:w="100" w:type="dxa"/>
              <w:start w:w="120" w:type="dxa"/>
              <w:bottom w:w="100" w:type="dxa"/>
              <w:end w:w="120" w:type="dxa"/>
            </w:tcMar>
            <w:vAlign w:val="top"/>
          </w:tcPr>
          <w:p>
            <w:r>
              <w:rPr>
                <w:b/>
                <w:color w:val="435F84"/>
                <w:sz w:val="18"/>
              </w:rPr>
              <w:t>Fertility Rate</w:t>
            </w:r>
          </w:p>
        </w:tc>
        <w:tc>
          <w:tcPr>
            <w:tcW w:type="dxa" w:w="4997"/>
            <w:tcMar>
              <w:top w:w="100" w:type="dxa"/>
              <w:start w:w="120" w:type="dxa"/>
              <w:bottom w:w="100" w:type="dxa"/>
              <w:end w:w="120" w:type="dxa"/>
            </w:tcMar>
            <w:vAlign w:val="top"/>
          </w:tcPr>
          <w:p>
            <w:r>
              <w:rPr>
                <w:sz w:val="18"/>
              </w:rPr>
              <w:t>Average number of births per woman under a specified demographic measure.</w:t>
            </w:r>
          </w:p>
        </w:tc>
      </w:tr>
      <w:tr>
        <w:tc>
          <w:tcPr>
            <w:tcW w:type="dxa" w:w="4997"/>
            <w:tcMar>
              <w:top w:w="100" w:type="dxa"/>
              <w:start w:w="120" w:type="dxa"/>
              <w:bottom w:w="100" w:type="dxa"/>
              <w:end w:w="120" w:type="dxa"/>
            </w:tcMar>
            <w:vAlign w:val="top"/>
          </w:tcPr>
          <w:p>
            <w:r>
              <w:rPr>
                <w:b/>
                <w:color w:val="435F84"/>
                <w:sz w:val="18"/>
              </w:rPr>
              <w:t>Replacement-Level Fertility</w:t>
            </w:r>
          </w:p>
        </w:tc>
        <w:tc>
          <w:tcPr>
            <w:tcW w:type="dxa" w:w="4997"/>
            <w:tcMar>
              <w:top w:w="100" w:type="dxa"/>
              <w:start w:w="120" w:type="dxa"/>
              <w:bottom w:w="100" w:type="dxa"/>
              <w:end w:w="120" w:type="dxa"/>
            </w:tcMar>
            <w:vAlign w:val="top"/>
          </w:tcPr>
          <w:p>
            <w:r>
              <w:rPr>
                <w:sz w:val="18"/>
              </w:rPr>
              <w:t>Approximate fertility level needed to replace one generation with another in a stable long-run setting, commonly near 2.1 in many populations.</w:t>
            </w:r>
          </w:p>
        </w:tc>
      </w:tr>
      <w:tr>
        <w:tc>
          <w:tcPr>
            <w:tcW w:type="dxa" w:w="4997"/>
            <w:tcMar>
              <w:top w:w="100" w:type="dxa"/>
              <w:start w:w="120" w:type="dxa"/>
              <w:bottom w:w="100" w:type="dxa"/>
              <w:end w:w="120" w:type="dxa"/>
            </w:tcMar>
            <w:vAlign w:val="top"/>
          </w:tcPr>
          <w:p>
            <w:r>
              <w:rPr>
                <w:b/>
                <w:color w:val="435F84"/>
                <w:sz w:val="18"/>
              </w:rPr>
              <w:t>Biological Security</w:t>
            </w:r>
          </w:p>
        </w:tc>
        <w:tc>
          <w:tcPr>
            <w:tcW w:type="dxa" w:w="4997"/>
            <w:tcMar>
              <w:top w:w="100" w:type="dxa"/>
              <w:start w:w="120" w:type="dxa"/>
              <w:bottom w:w="100" w:type="dxa"/>
              <w:end w:w="120" w:type="dxa"/>
            </w:tcMar>
            <w:vAlign w:val="top"/>
          </w:tcPr>
          <w:p>
            <w:r>
              <w:rPr>
                <w:sz w:val="18"/>
              </w:rPr>
              <w:t>Measures intended to prevent biological threats, accidents or deliberate misuse from harming people and societies.</w:t>
            </w:r>
          </w:p>
        </w:tc>
      </w:tr>
      <w:tr>
        <w:tc>
          <w:tcPr>
            <w:tcW w:type="dxa" w:w="4997"/>
            <w:tcMar>
              <w:top w:w="100" w:type="dxa"/>
              <w:start w:w="120" w:type="dxa"/>
              <w:bottom w:w="100" w:type="dxa"/>
              <w:end w:w="120" w:type="dxa"/>
            </w:tcMar>
            <w:vAlign w:val="top"/>
          </w:tcPr>
          <w:p>
            <w:r>
              <w:rPr>
                <w:b/>
                <w:color w:val="435F84"/>
                <w:sz w:val="18"/>
              </w:rPr>
              <w:t>Information Operation</w:t>
            </w:r>
          </w:p>
        </w:tc>
        <w:tc>
          <w:tcPr>
            <w:tcW w:type="dxa" w:w="4997"/>
            <w:tcMar>
              <w:top w:w="100" w:type="dxa"/>
              <w:start w:w="120" w:type="dxa"/>
              <w:bottom w:w="100" w:type="dxa"/>
              <w:end w:w="120" w:type="dxa"/>
            </w:tcMar>
            <w:vAlign w:val="top"/>
          </w:tcPr>
          <w:p>
            <w:r>
              <w:rPr>
                <w:sz w:val="18"/>
              </w:rPr>
              <w:t>A coordinated effort to shape perceptions or behaviour through information and communications.</w:t>
            </w:r>
          </w:p>
        </w:tc>
      </w:tr>
      <w:tr>
        <w:tc>
          <w:tcPr>
            <w:tcW w:type="dxa" w:w="4997"/>
            <w:tcMar>
              <w:top w:w="100" w:type="dxa"/>
              <w:start w:w="120" w:type="dxa"/>
              <w:bottom w:w="100" w:type="dxa"/>
              <w:end w:w="120" w:type="dxa"/>
            </w:tcMar>
            <w:vAlign w:val="top"/>
          </w:tcPr>
          <w:p>
            <w:r>
              <w:rPr>
                <w:b/>
                <w:color w:val="435F84"/>
                <w:sz w:val="18"/>
              </w:rPr>
              <w:t>Attribution</w:t>
            </w:r>
          </w:p>
        </w:tc>
        <w:tc>
          <w:tcPr>
            <w:tcW w:type="dxa" w:w="4997"/>
            <w:tcMar>
              <w:top w:w="100" w:type="dxa"/>
              <w:start w:w="120" w:type="dxa"/>
              <w:bottom w:w="100" w:type="dxa"/>
              <w:end w:w="120" w:type="dxa"/>
            </w:tcMar>
            <w:vAlign w:val="top"/>
          </w:tcPr>
          <w:p>
            <w:r>
              <w:rPr>
                <w:sz w:val="18"/>
              </w:rPr>
              <w:t>A determination of who is responsible for a harmful action or campaign.</w:t>
            </w:r>
          </w:p>
        </w:tc>
      </w:tr>
      <w:tr>
        <w:tc>
          <w:tcPr>
            <w:tcW w:type="dxa" w:w="4997"/>
            <w:tcMar>
              <w:top w:w="100" w:type="dxa"/>
              <w:start w:w="120" w:type="dxa"/>
              <w:bottom w:w="100" w:type="dxa"/>
              <w:end w:w="120" w:type="dxa"/>
            </w:tcMar>
            <w:vAlign w:val="top"/>
          </w:tcPr>
          <w:p>
            <w:r>
              <w:rPr>
                <w:b/>
                <w:color w:val="435F84"/>
                <w:sz w:val="18"/>
              </w:rPr>
              <w:t>Demographic Transition</w:t>
            </w:r>
          </w:p>
        </w:tc>
        <w:tc>
          <w:tcPr>
            <w:tcW w:type="dxa" w:w="4997"/>
            <w:tcMar>
              <w:top w:w="100" w:type="dxa"/>
              <w:start w:w="120" w:type="dxa"/>
              <w:bottom w:w="100" w:type="dxa"/>
              <w:end w:w="120" w:type="dxa"/>
            </w:tcMar>
            <w:vAlign w:val="top"/>
          </w:tcPr>
          <w:p>
            <w:r>
              <w:rPr>
                <w:sz w:val="18"/>
              </w:rPr>
              <w:t>The long-term shift from higher to lower mortality and fertility associated with social and economic transformation.</w:t>
            </w:r>
          </w:p>
        </w:tc>
      </w:tr>
    </w:tbl>
    <w:p/>
    <w:p>
      <w:pPr>
        <w:pStyle w:val="Heading1"/>
      </w:pPr>
      <w:r>
        <w:t>Sources &amp; Further Reading</w:t>
      </w:r>
    </w:p>
    <w:p>
      <w:r>
        <w:rPr>
          <w:b/>
          <w:color w:val="112B4E"/>
        </w:rPr>
        <w:t xml:space="preserve">UN DESA — World Fertility 2024 — </w:t>
      </w:r>
      <w:r>
        <w:rPr>
          <w:color w:val="435F84"/>
          <w:sz w:val="17"/>
        </w:rPr>
        <w:t>https://www.un.org/development/desa/pd/publications/world-fertility-2024</w:t>
      </w:r>
    </w:p>
    <w:p>
      <w:r>
        <w:rPr>
          <w:b/>
          <w:color w:val="112B4E"/>
        </w:rPr>
        <w:t xml:space="preserve">UN DESA — Fertility and Family Planning Policy Brief — </w:t>
      </w:r>
      <w:r>
        <w:rPr>
          <w:color w:val="435F84"/>
          <w:sz w:val="17"/>
        </w:rPr>
        <w:t>https://desapublications.un.org/policy-briefs/un-desa-policy-brief-no-172-new-landscape-fertility-and-family-planning-30-years</w:t>
      </w:r>
    </w:p>
    <w:p>
      <w:r>
        <w:rPr>
          <w:b/>
          <w:color w:val="112B4E"/>
        </w:rPr>
        <w:t xml:space="preserve">UN Treaty Collection — Biological Weapons Convention — </w:t>
      </w:r>
      <w:r>
        <w:rPr>
          <w:color w:val="435F84"/>
          <w:sz w:val="17"/>
        </w:rPr>
        <w:t>https://treaties.un.org/</w:t>
      </w:r>
    </w:p>
    <w:sectPr w:rsidR="00FC693F" w:rsidRPr="0006063C" w:rsidSect="00034616">
      <w:headerReference w:type="default" r:id="rId9"/>
      <w:footerReference w:type="default" r:id="rId10"/>
      <w:pgSz w:w="12240" w:h="15840"/>
      <w:pgMar w:top="1037" w:right="1123" w:bottom="936" w:left="112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96D72"/>
        <w:sz w:val="16"/>
      </w:rPr>
      <w:t xml:space="preserve">JIRSMUN 8.0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B88935"/>
        <w:sz w:val="17"/>
      </w:rPr>
      <w:t>JIRSMUN 8.0   /   BACKGROUND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282D3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Georgia" w:hAnsi="Georgia"/>
      <w:b/>
      <w:bCs/>
      <w:color w:val="112B4E"/>
      <w:sz w:val="31"/>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Georgia" w:hAnsi="Georgia"/>
      <w:b/>
      <w:bCs/>
      <w:color w:val="435F8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Georgia" w:hAnsi="Georgia"/>
      <w:b w:val="0"/>
      <w:color w:val="112B4E"/>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