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color w:val="B88935"/>
          <w:sz w:val="18"/>
        </w:rPr>
        <w:t>CCC</w:t>
      </w:r>
    </w:p>
    <w:p>
      <w:pPr>
        <w:pStyle w:val="Title"/>
      </w:pPr>
      <w:r>
        <w:t>Continuous Crisis Committee</w:t>
      </w:r>
    </w:p>
    <w:p>
      <w:pPr>
        <w:spacing w:after="240"/>
      </w:pPr>
      <w:r>
        <w:rPr>
          <w:rFonts w:ascii="Aptos" w:hAnsi="Aptos"/>
          <w:i/>
          <w:color w:val="435F84"/>
          <w:sz w:val="23"/>
        </w:rPr>
        <w:t>The Battle of Berlin (1945).</w:t>
      </w:r>
    </w:p>
    <w:tbl>
      <w:tblPr>
        <w:tblW w:type="auto" w:w="0"/>
        <w:jc w:val="center"/>
        <w:tblLook w:firstColumn="1" w:firstRow="1" w:lastColumn="0" w:lastRow="0" w:noHBand="0" w:noVBand="1" w:val="04A0"/>
      </w:tblPr>
      <w:tblGrid>
        <w:gridCol w:w="9994"/>
      </w:tblGrid>
      <w:tr>
        <w:tc>
          <w:tcPr>
            <w:tcW w:type="dxa" w:w="9994"/>
            <w:shd w:fill="C8A85A"/>
          </w:tcPr>
          <w:p>
            <w:r/>
          </w:p>
        </w:tc>
      </w:tr>
    </w:tbl>
    <w:p/>
    <w:tbl>
      <w:tblPr>
        <w:tblW w:type="auto" w:w="0"/>
        <w:jc w:val="center"/>
        <w:tblLook w:firstColumn="1" w:firstRow="1" w:lastColumn="0" w:lastRow="0" w:noHBand="0" w:noVBand="1" w:val="04A0"/>
      </w:tblPr>
      <w:tblGrid>
        <w:gridCol w:w="9994"/>
      </w:tblGrid>
      <w:tr>
        <w:tc>
          <w:tcPr>
            <w:tcW w:type="dxa" w:w="9994"/>
            <w:shd w:fill="F1EEE7"/>
            <w:tcMar>
              <w:top w:w="140" w:type="dxa"/>
              <w:start w:w="180" w:type="dxa"/>
              <w:bottom w:w="140" w:type="dxa"/>
              <w:end w:w="180" w:type="dxa"/>
            </w:tcMar>
          </w:tcPr>
          <w:p>
            <w:r>
              <w:rPr>
                <w:rFonts w:ascii="Aptos" w:hAnsi="Aptos"/>
                <w:b/>
                <w:color w:val="B88935"/>
                <w:sz w:val="17"/>
              </w:rPr>
              <w:t>COMMITTEE NOTE</w:t>
            </w:r>
          </w:p>
          <w:p>
            <w:pPr>
              <w:spacing w:after="0"/>
            </w:pPr>
            <w:r>
              <w:rPr>
                <w:rFonts w:ascii="Aptos" w:hAnsi="Aptos"/>
                <w:color w:val="282D32"/>
                <w:sz w:val="19"/>
              </w:rPr>
              <w:t>This guide is a historical simulation. Delegates should distinguish established historical facts from committee-specific crisis developments introduced during session.</w:t>
            </w:r>
          </w:p>
        </w:tc>
      </w:tr>
    </w:tbl>
    <w:p>
      <w:pPr>
        <w:spacing w:after="20"/>
      </w:pPr>
    </w:p>
    <w:p>
      <w:pPr>
        <w:pStyle w:val="Heading1"/>
      </w:pPr>
      <w:r>
        <w:t>1. Historical Setting</w:t>
      </w:r>
    </w:p>
    <w:p>
      <w:r>
        <w:t>By spring 1945, Nazi Germany was facing military defeat from both east and west. Soviet forces had advanced through Central and Eastern Europe, while the Western Allies had crossed into Germany. The final Soviet offensive toward Berlin began in April 1945.</w:t>
      </w:r>
    </w:p>
    <w:p>
      <w:pPr>
        <w:pStyle w:val="Heading1"/>
      </w:pPr>
      <w:r>
        <w:t>2. The Road to Berlin</w:t>
      </w:r>
    </w:p>
    <w:p>
      <w:r>
        <w:t>The Soviet offensive of 16 April 1945 enabled forces to penetrate German defensive positions and move toward the capital. Berlin was effectively encircled by 25 April, while Soviet and American forces simultaneously met at Torgau on the Elbe River. The convergence of these fronts made the political and military significance of Berlin enormous.</w:t>
      </w:r>
    </w:p>
    <w:p>
      <w:pPr>
        <w:pStyle w:val="Heading1"/>
      </w:pPr>
      <w:r>
        <w:t>3. The Crisis Environment</w:t>
      </w:r>
    </w:p>
    <w:p>
      <w:r>
        <w:t>A continuous-crisis committee requires delegates to manage a rapidly changing situation rather than a static agenda. Decisions should therefore consider incomplete intelligence, conflicting objectives, communications delays and the possibility that actions taken at one stage of the crisis change the next stage.</w:t>
      </w:r>
    </w:p>
    <w:p>
      <w:pPr>
        <w:pStyle w:val="Heading1"/>
      </w:pPr>
      <w:r>
        <w:t>4. Major Strategic Questions</w:t>
      </w:r>
    </w:p>
    <w:p>
      <w:r>
        <w:t>Delegates may have to balance military objectives with civilian safety, political legitimacy, command coherence and the rapidly approaching end of the European war. The historical record shows that Berlin fell after intense fighting, with German forces surrendering in early May. Hitler died on 30 April 1945 and Berlin surrendered to Soviet forces on 2 May.</w:t>
      </w:r>
    </w:p>
    <w:p>
      <w:pPr>
        <w:pStyle w:val="Heading1"/>
      </w:pPr>
      <w:r>
        <w:t>5. Questions for Delegates</w:t>
      </w:r>
    </w:p>
    <w:p>
      <w:pPr>
        <w:pStyle w:val="ListBullet"/>
        <w:spacing w:after="60"/>
      </w:pPr>
      <w:r>
        <w:t>What immediate objective should each actor prioritise?</w:t>
      </w:r>
    </w:p>
    <w:p>
      <w:pPr>
        <w:pStyle w:val="ListBullet"/>
        <w:spacing w:after="60"/>
      </w:pPr>
      <w:r>
        <w:t>How should civilian safety affect operational decisions?</w:t>
      </w:r>
    </w:p>
    <w:p>
      <w:pPr>
        <w:pStyle w:val="ListBullet"/>
        <w:spacing w:after="60"/>
      </w:pPr>
      <w:r>
        <w:t>How should fragmented or contradictory intelligence be handled?</w:t>
      </w:r>
    </w:p>
    <w:p>
      <w:pPr>
        <w:pStyle w:val="ListBullet"/>
        <w:spacing w:after="60"/>
      </w:pPr>
      <w:r>
        <w:t>What political outcomes may follow the capture of Berlin?</w:t>
      </w:r>
    </w:p>
    <w:p>
      <w:pPr>
        <w:pStyle w:val="ListBullet"/>
        <w:spacing w:after="60"/>
      </w:pPr>
      <w:r>
        <w:t>How can commanders prevent uncontrolled escalation as the regime collapses?</w:t>
      </w:r>
    </w:p>
    <w:p>
      <w:pPr>
        <w:pStyle w:val="ListBullet"/>
        <w:spacing w:after="60"/>
      </w:pPr>
      <w:r>
        <w:t>What should be communicated publicly versus retained for operational security?</w:t>
      </w:r>
    </w:p>
    <w:p>
      <w:pPr>
        <w:pStyle w:val="ListBullet"/>
        <w:spacing w:after="60"/>
      </w:pPr>
      <w:r>
        <w:t>How should the committee react to sudden historical events that change the strategic picture?</w:t>
      </w:r>
    </w:p>
    <w:p>
      <w:pPr>
        <w:pStyle w:val="Heading1"/>
      </w:pPr>
      <w:r>
        <w:t>6. Suggested Crisis-Direction Areas</w:t>
      </w:r>
    </w:p>
    <w:p>
      <w:pPr>
        <w:pStyle w:val="ListBullet"/>
        <w:spacing w:after="60"/>
      </w:pPr>
      <w:r>
        <w:t>Command succession</w:t>
      </w:r>
    </w:p>
    <w:p>
      <w:pPr>
        <w:pStyle w:val="ListBullet"/>
        <w:spacing w:after="60"/>
      </w:pPr>
      <w:r>
        <w:t>Civilian administration</w:t>
      </w:r>
    </w:p>
    <w:p>
      <w:pPr>
        <w:pStyle w:val="ListBullet"/>
        <w:spacing w:after="60"/>
      </w:pPr>
      <w:r>
        <w:t>Ceasefire and surrender</w:t>
      </w:r>
    </w:p>
    <w:p>
      <w:pPr>
        <w:pStyle w:val="ListBullet"/>
        <w:spacing w:after="60"/>
      </w:pPr>
      <w:r>
        <w:t>Humanitarian access</w:t>
      </w:r>
    </w:p>
    <w:p>
      <w:pPr>
        <w:pStyle w:val="ListBullet"/>
        <w:spacing w:after="60"/>
      </w:pPr>
      <w:r>
        <w:t>Prisoner handling</w:t>
      </w:r>
    </w:p>
    <w:p>
      <w:pPr>
        <w:pStyle w:val="ListBullet"/>
        <w:spacing w:after="60"/>
      </w:pPr>
      <w:r>
        <w:t>Occupation planning</w:t>
      </w:r>
    </w:p>
    <w:p>
      <w:pPr>
        <w:pStyle w:val="ListBullet"/>
        <w:spacing w:after="60"/>
      </w:pPr>
      <w:r>
        <w:t>Political transition</w:t>
      </w:r>
    </w:p>
    <w:p>
      <w:pPr>
        <w:pStyle w:val="ListBullet"/>
        <w:spacing w:after="60"/>
      </w:pPr>
      <w:r>
        <w:t>Intelligence verification</w:t>
      </w:r>
    </w:p>
    <w:p>
      <w:pPr>
        <w:pStyle w:val="Heading1"/>
      </w:pPr>
      <w:r>
        <w:t>Key Concepts</w:t>
      </w:r>
    </w:p>
    <w:tbl>
      <w:tblPr>
        <w:tblW w:type="auto" w:w="0"/>
        <w:jc w:val="center"/>
        <w:tblLayout w:type="autofit"/>
        <w:tblLook w:firstColumn="1" w:firstRow="1" w:lastColumn="0" w:lastRow="0" w:noHBand="0" w:noVBand="1" w:val="04A0"/>
      </w:tblPr>
      <w:tblGrid>
        <w:gridCol w:w="4997"/>
        <w:gridCol w:w="4997"/>
      </w:tblGrid>
      <w:tr>
        <w:tc>
          <w:tcPr>
            <w:tcW w:type="dxa" w:w="4997"/>
            <w:shd w:fill="E8E1D3"/>
            <w:tcMar>
              <w:top w:w="100" w:type="dxa"/>
              <w:start w:w="120" w:type="dxa"/>
              <w:bottom w:w="100" w:type="dxa"/>
              <w:end w:w="120" w:type="dxa"/>
            </w:tcMar>
          </w:tcPr>
          <w:p>
            <w:r>
              <w:rPr>
                <w:b/>
                <w:color w:val="112B4E"/>
                <w:sz w:val="17"/>
              </w:rPr>
              <w:t>TERM</w:t>
            </w:r>
          </w:p>
        </w:tc>
        <w:tc>
          <w:tcPr>
            <w:tcW w:type="dxa" w:w="4997"/>
            <w:shd w:fill="E8E1D3"/>
            <w:tcMar>
              <w:top w:w="100" w:type="dxa"/>
              <w:start w:w="120" w:type="dxa"/>
              <w:bottom w:w="100" w:type="dxa"/>
              <w:end w:w="120" w:type="dxa"/>
            </w:tcMar>
          </w:tcPr>
          <w:p>
            <w:r>
              <w:rPr>
                <w:b/>
                <w:color w:val="112B4E"/>
                <w:sz w:val="17"/>
              </w:rPr>
              <w:t>WORKING DEFINITION</w:t>
            </w:r>
          </w:p>
        </w:tc>
      </w:tr>
      <w:tr>
        <w:tc>
          <w:tcPr>
            <w:tcW w:type="dxa" w:w="4997"/>
            <w:tcMar>
              <w:top w:w="100" w:type="dxa"/>
              <w:start w:w="120" w:type="dxa"/>
              <w:bottom w:w="100" w:type="dxa"/>
              <w:end w:w="120" w:type="dxa"/>
            </w:tcMar>
            <w:vAlign w:val="top"/>
          </w:tcPr>
          <w:p>
            <w:r>
              <w:rPr>
                <w:b/>
                <w:color w:val="435F84"/>
                <w:sz w:val="18"/>
              </w:rPr>
              <w:t>Eastern Front</w:t>
            </w:r>
          </w:p>
        </w:tc>
        <w:tc>
          <w:tcPr>
            <w:tcW w:type="dxa" w:w="4997"/>
            <w:tcMar>
              <w:top w:w="100" w:type="dxa"/>
              <w:start w:w="120" w:type="dxa"/>
              <w:bottom w:w="100" w:type="dxa"/>
              <w:end w:w="120" w:type="dxa"/>
            </w:tcMar>
            <w:vAlign w:val="top"/>
          </w:tcPr>
          <w:p>
            <w:r>
              <w:rPr>
                <w:sz w:val="18"/>
              </w:rPr>
              <w:t>The major theatre in which Germany fought the Soviet Union and other Allied forces in Eastern Europe.</w:t>
            </w:r>
          </w:p>
        </w:tc>
      </w:tr>
      <w:tr>
        <w:tc>
          <w:tcPr>
            <w:tcW w:type="dxa" w:w="4997"/>
            <w:tcMar>
              <w:top w:w="100" w:type="dxa"/>
              <w:start w:w="120" w:type="dxa"/>
              <w:bottom w:w="100" w:type="dxa"/>
              <w:end w:w="120" w:type="dxa"/>
            </w:tcMar>
            <w:vAlign w:val="top"/>
          </w:tcPr>
          <w:p>
            <w:r>
              <w:rPr>
                <w:b/>
                <w:color w:val="435F84"/>
                <w:sz w:val="18"/>
              </w:rPr>
              <w:t>Encirclement</w:t>
            </w:r>
          </w:p>
        </w:tc>
        <w:tc>
          <w:tcPr>
            <w:tcW w:type="dxa" w:w="4997"/>
            <w:tcMar>
              <w:top w:w="100" w:type="dxa"/>
              <w:start w:w="120" w:type="dxa"/>
              <w:bottom w:w="100" w:type="dxa"/>
              <w:end w:w="120" w:type="dxa"/>
            </w:tcMar>
            <w:vAlign w:val="top"/>
          </w:tcPr>
          <w:p>
            <w:r>
              <w:rPr>
                <w:sz w:val="18"/>
              </w:rPr>
              <w:t>A military situation in which a force is surrounded or operationally isolated.</w:t>
            </w:r>
          </w:p>
        </w:tc>
      </w:tr>
      <w:tr>
        <w:tc>
          <w:tcPr>
            <w:tcW w:type="dxa" w:w="4997"/>
            <w:tcMar>
              <w:top w:w="100" w:type="dxa"/>
              <w:start w:w="120" w:type="dxa"/>
              <w:bottom w:w="100" w:type="dxa"/>
              <w:end w:w="120" w:type="dxa"/>
            </w:tcMar>
            <w:vAlign w:val="top"/>
          </w:tcPr>
          <w:p>
            <w:r>
              <w:rPr>
                <w:b/>
                <w:color w:val="435F84"/>
                <w:sz w:val="18"/>
              </w:rPr>
              <w:t>Command Succession</w:t>
            </w:r>
          </w:p>
        </w:tc>
        <w:tc>
          <w:tcPr>
            <w:tcW w:type="dxa" w:w="4997"/>
            <w:tcMar>
              <w:top w:w="100" w:type="dxa"/>
              <w:start w:w="120" w:type="dxa"/>
              <w:bottom w:w="100" w:type="dxa"/>
              <w:end w:w="120" w:type="dxa"/>
            </w:tcMar>
            <w:vAlign w:val="top"/>
          </w:tcPr>
          <w:p>
            <w:r>
              <w:rPr>
                <w:sz w:val="18"/>
              </w:rPr>
              <w:t>The transfer of authority when a senior political or military leader can no longer command.</w:t>
            </w:r>
          </w:p>
        </w:tc>
      </w:tr>
      <w:tr>
        <w:tc>
          <w:tcPr>
            <w:tcW w:type="dxa" w:w="4997"/>
            <w:tcMar>
              <w:top w:w="100" w:type="dxa"/>
              <w:start w:w="120" w:type="dxa"/>
              <w:bottom w:w="100" w:type="dxa"/>
              <w:end w:w="120" w:type="dxa"/>
            </w:tcMar>
            <w:vAlign w:val="top"/>
          </w:tcPr>
          <w:p>
            <w:r>
              <w:rPr>
                <w:b/>
                <w:color w:val="435F84"/>
                <w:sz w:val="18"/>
              </w:rPr>
              <w:t>Capitulation</w:t>
            </w:r>
          </w:p>
        </w:tc>
        <w:tc>
          <w:tcPr>
            <w:tcW w:type="dxa" w:w="4997"/>
            <w:tcMar>
              <w:top w:w="100" w:type="dxa"/>
              <w:start w:w="120" w:type="dxa"/>
              <w:bottom w:w="100" w:type="dxa"/>
              <w:end w:w="120" w:type="dxa"/>
            </w:tcMar>
            <w:vAlign w:val="top"/>
          </w:tcPr>
          <w:p>
            <w:r>
              <w:rPr>
                <w:sz w:val="18"/>
              </w:rPr>
              <w:t>Formal surrender of a state or armed force.</w:t>
            </w:r>
          </w:p>
        </w:tc>
      </w:tr>
      <w:tr>
        <w:tc>
          <w:tcPr>
            <w:tcW w:type="dxa" w:w="4997"/>
            <w:tcMar>
              <w:top w:w="100" w:type="dxa"/>
              <w:start w:w="120" w:type="dxa"/>
              <w:bottom w:w="100" w:type="dxa"/>
              <w:end w:w="120" w:type="dxa"/>
            </w:tcMar>
            <w:vAlign w:val="top"/>
          </w:tcPr>
          <w:p>
            <w:r>
              <w:rPr>
                <w:b/>
                <w:color w:val="435F84"/>
                <w:sz w:val="18"/>
              </w:rPr>
              <w:t>Continuous Crisis</w:t>
            </w:r>
          </w:p>
        </w:tc>
        <w:tc>
          <w:tcPr>
            <w:tcW w:type="dxa" w:w="4997"/>
            <w:tcMar>
              <w:top w:w="100" w:type="dxa"/>
              <w:start w:w="120" w:type="dxa"/>
              <w:bottom w:w="100" w:type="dxa"/>
              <w:end w:w="120" w:type="dxa"/>
            </w:tcMar>
            <w:vAlign w:val="top"/>
          </w:tcPr>
          <w:p>
            <w:r>
              <w:rPr>
                <w:sz w:val="18"/>
              </w:rPr>
              <w:t>A committee format in which new information and developments are introduced throughout the session.</w:t>
            </w:r>
          </w:p>
        </w:tc>
      </w:tr>
    </w:tbl>
    <w:p/>
    <w:p>
      <w:pPr>
        <w:pStyle w:val="Heading1"/>
      </w:pPr>
      <w:r>
        <w:t>Sources &amp; Further Reading</w:t>
      </w:r>
    </w:p>
    <w:p>
      <w:r>
        <w:rPr>
          <w:b/>
          <w:color w:val="112B4E"/>
        </w:rPr>
        <w:t xml:space="preserve">US Holocaust Memorial Museum — 1945 Key Dates — </w:t>
      </w:r>
      <w:r>
        <w:rPr>
          <w:color w:val="435F84"/>
          <w:sz w:val="17"/>
        </w:rPr>
        <w:t>https://encyclopedia.ushmm.org/content/en/article/1945-key-dates</w:t>
      </w:r>
    </w:p>
    <w:p>
      <w:r>
        <w:rPr>
          <w:b/>
          <w:color w:val="112B4E"/>
        </w:rPr>
        <w:t xml:space="preserve">US Holocaust Memorial Museum — Soviet and US Troops Meet at Torgau — </w:t>
      </w:r>
      <w:r>
        <w:rPr>
          <w:color w:val="435F84"/>
          <w:sz w:val="17"/>
        </w:rPr>
        <w:t>https://encyclopedia.ushmm.org/content/en/timeline-event/holocaust/1942-1945/soviet-and-us-troops-meet-at-torgau</w:t>
      </w:r>
    </w:p>
    <w:p>
      <w:r>
        <w:rPr>
          <w:b/>
          <w:color w:val="112B4E"/>
        </w:rPr>
        <w:t xml:space="preserve">US Holocaust Memorial Museum — World War II in Europe — </w:t>
      </w:r>
      <w:r>
        <w:rPr>
          <w:color w:val="435F84"/>
          <w:sz w:val="17"/>
        </w:rPr>
        <w:t>https://encyclopedia.ushmm.org/content/en/article/world-war-ii-in-europe</w:t>
      </w:r>
    </w:p>
    <w:sectPr w:rsidR="00FC693F" w:rsidRPr="0006063C" w:rsidSect="00034616">
      <w:headerReference w:type="default" r:id="rId9"/>
      <w:footerReference w:type="default" r:id="rId10"/>
      <w:pgSz w:w="12240" w:h="15840"/>
      <w:pgMar w:top="1037" w:right="1123" w:bottom="936" w:left="1123"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96D72"/>
        <w:sz w:val="16"/>
      </w:rPr>
      <w:t xml:space="preserve">JIRSMUN 8.0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B88935"/>
        <w:sz w:val="17"/>
      </w:rPr>
      <w:t>JIRSMUN 8.0   /   BACKGROUND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color w:val="282D3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Georgia" w:hAnsi="Georgia"/>
      <w:b/>
      <w:bCs/>
      <w:color w:val="112B4E"/>
      <w:sz w:val="31"/>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Georgia" w:hAnsi="Georgia"/>
      <w:b/>
      <w:bCs/>
      <w:color w:val="435F8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Georgia" w:hAnsi="Georgia"/>
      <w:b w:val="0"/>
      <w:color w:val="112B4E"/>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